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8D" w:rsidRPr="00445C8D" w:rsidRDefault="00921251" w:rsidP="00921251">
      <w:pPr>
        <w:rPr>
          <w:b/>
          <w:sz w:val="28"/>
          <w:szCs w:val="28"/>
        </w:rPr>
      </w:pPr>
      <w:bookmarkStart w:id="0" w:name="_GoBack"/>
      <w:bookmarkEnd w:id="0"/>
      <w:r w:rsidRPr="00445C8D">
        <w:rPr>
          <w:b/>
          <w:sz w:val="28"/>
          <w:szCs w:val="28"/>
        </w:rPr>
        <w:t>Zápis ze 1</w:t>
      </w:r>
      <w:r w:rsidR="00A30BFE" w:rsidRPr="00445C8D">
        <w:rPr>
          <w:b/>
          <w:sz w:val="28"/>
          <w:szCs w:val="28"/>
        </w:rPr>
        <w:t>4</w:t>
      </w:r>
      <w:r w:rsidRPr="00445C8D">
        <w:rPr>
          <w:b/>
          <w:sz w:val="28"/>
          <w:szCs w:val="28"/>
        </w:rPr>
        <w:t>. zasedání Pracovní skupiny pro udržitelný rozvoj regionů, obcí a</w:t>
      </w:r>
      <w:r w:rsidR="00963924" w:rsidRPr="00445C8D">
        <w:rPr>
          <w:b/>
          <w:sz w:val="28"/>
          <w:szCs w:val="28"/>
        </w:rPr>
        <w:t> </w:t>
      </w:r>
      <w:r w:rsidRPr="00445C8D">
        <w:rPr>
          <w:b/>
          <w:sz w:val="28"/>
          <w:szCs w:val="28"/>
        </w:rPr>
        <w:t>území</w:t>
      </w:r>
      <w:r w:rsidR="00054195" w:rsidRPr="00445C8D">
        <w:rPr>
          <w:b/>
          <w:sz w:val="28"/>
          <w:szCs w:val="28"/>
        </w:rPr>
        <w:t xml:space="preserve"> </w:t>
      </w:r>
    </w:p>
    <w:p w:rsidR="00921251" w:rsidRPr="00445C8D" w:rsidRDefault="00054195" w:rsidP="00921251">
      <w:pPr>
        <w:rPr>
          <w:b/>
        </w:rPr>
      </w:pPr>
      <w:r w:rsidRPr="00445C8D">
        <w:rPr>
          <w:b/>
        </w:rPr>
        <w:t xml:space="preserve">11. </w:t>
      </w:r>
      <w:r w:rsidR="00445C8D" w:rsidRPr="00445C8D">
        <w:rPr>
          <w:b/>
        </w:rPr>
        <w:t>prosince</w:t>
      </w:r>
      <w:r w:rsidRPr="00445C8D">
        <w:rPr>
          <w:b/>
        </w:rPr>
        <w:t xml:space="preserve"> 2013</w:t>
      </w:r>
      <w:r w:rsidR="00445C8D" w:rsidRPr="00445C8D">
        <w:rPr>
          <w:b/>
        </w:rPr>
        <w:t>, 10.00 hod., Barokní refektář Dominikánského kláštera u  sv. Jiljí (Jilská 7a, Praha</w:t>
      </w:r>
      <w:r w:rsidR="00445C8D">
        <w:rPr>
          <w:b/>
        </w:rPr>
        <w:t> </w:t>
      </w:r>
      <w:r w:rsidR="00445C8D" w:rsidRPr="00445C8D">
        <w:rPr>
          <w:b/>
        </w:rPr>
        <w:t xml:space="preserve">1)  </w:t>
      </w:r>
    </w:p>
    <w:p w:rsidR="00614472" w:rsidRDefault="00614472" w:rsidP="00445C8D">
      <w:pPr>
        <w:jc w:val="both"/>
        <w:rPr>
          <w:b/>
          <w:bCs/>
          <w:u w:val="single"/>
        </w:rPr>
      </w:pPr>
    </w:p>
    <w:p w:rsidR="00445C8D" w:rsidRPr="00445C8D" w:rsidRDefault="00445C8D" w:rsidP="00445C8D">
      <w:pPr>
        <w:jc w:val="both"/>
        <w:rPr>
          <w:b/>
          <w:bCs/>
          <w:u w:val="single"/>
        </w:rPr>
      </w:pPr>
      <w:r w:rsidRPr="00445C8D">
        <w:rPr>
          <w:b/>
          <w:bCs/>
          <w:u w:val="single"/>
        </w:rPr>
        <w:t>Program: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>Úvodní slovo (Ing. Hartmann)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>1. Aktuální informace z PS Místní Agendy 21 (M. Petrová - MŽP)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>2. Příprava Kohezní politiky EU 2014-2020 – EU úroveň (D. Grabmüllerová - MMR)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>3. Příprava Kohezní politiky EU 2014-2020 – ČR úroveň (M. Daněk - MMR)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 xml:space="preserve">4. Strategické řízení (I. Hartmann - MMR) 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>5. Informace o aktualizaci Politiky územního rozvoje ČR (F. Novosád – MMR)</w:t>
      </w:r>
    </w:p>
    <w:p w:rsidR="00445C8D" w:rsidRPr="00445C8D" w:rsidRDefault="00445C8D" w:rsidP="00445C8D">
      <w:pPr>
        <w:jc w:val="both"/>
      </w:pPr>
      <w:r w:rsidRPr="00445C8D">
        <w:rPr>
          <w:b/>
          <w:bCs/>
        </w:rPr>
        <w:t>6. Strategický rozvoj Jihomoravského kraje - (Mgr. Tomáš Grulich, odbor regionálního rozvoje)</w:t>
      </w:r>
    </w:p>
    <w:p w:rsidR="00445C8D" w:rsidRDefault="00445C8D" w:rsidP="00B90254">
      <w:pPr>
        <w:jc w:val="both"/>
      </w:pPr>
      <w:r w:rsidRPr="00445C8D">
        <w:rPr>
          <w:b/>
          <w:bCs/>
        </w:rPr>
        <w:t>7. Různé</w:t>
      </w:r>
    </w:p>
    <w:p w:rsidR="00445C8D" w:rsidRPr="00445C8D" w:rsidRDefault="00445C8D" w:rsidP="00B90254">
      <w:pPr>
        <w:jc w:val="both"/>
      </w:pPr>
    </w:p>
    <w:p w:rsidR="00050C73" w:rsidRDefault="00921251" w:rsidP="00B90254">
      <w:pPr>
        <w:jc w:val="both"/>
      </w:pPr>
      <w:r w:rsidRPr="00445C8D">
        <w:t>V úvodu jednání přivítal účastníky tajemník Pracovní skupiny, Ing. Igor Hartmann,</w:t>
      </w:r>
      <w:r w:rsidR="003D540F" w:rsidRPr="00445C8D">
        <w:t xml:space="preserve"> </w:t>
      </w:r>
      <w:r w:rsidR="00913235">
        <w:t xml:space="preserve">a </w:t>
      </w:r>
      <w:r w:rsidR="003D540F" w:rsidRPr="00445C8D">
        <w:t>stručně informoval o </w:t>
      </w:r>
      <w:r w:rsidR="00F90D32" w:rsidRPr="00445C8D">
        <w:t xml:space="preserve">proběhlých </w:t>
      </w:r>
      <w:r w:rsidR="003D540F" w:rsidRPr="00445C8D">
        <w:t>organizačních</w:t>
      </w:r>
      <w:r w:rsidR="003D540F">
        <w:t xml:space="preserve"> změnách na MMR, které měly vliv také na změnu v osobě </w:t>
      </w:r>
      <w:r>
        <w:t>vedoucího pracovní skupiny</w:t>
      </w:r>
      <w:r w:rsidR="003D540F">
        <w:t xml:space="preserve"> pro </w:t>
      </w:r>
      <w:r w:rsidR="003D540F" w:rsidRPr="003D540F">
        <w:t>udržiteln</w:t>
      </w:r>
      <w:r w:rsidR="003D540F">
        <w:t>ý rozvoj regionů, obcí a území</w:t>
      </w:r>
      <w:r>
        <w:t xml:space="preserve">, </w:t>
      </w:r>
      <w:r w:rsidR="003D540F">
        <w:t xml:space="preserve">jímž je nyní </w:t>
      </w:r>
      <w:r w:rsidR="00860203">
        <w:t xml:space="preserve">první </w:t>
      </w:r>
      <w:r>
        <w:t>náměst</w:t>
      </w:r>
      <w:r w:rsidR="003D540F">
        <w:t>ek</w:t>
      </w:r>
      <w:r>
        <w:t xml:space="preserve"> </w:t>
      </w:r>
      <w:r w:rsidR="00DA5507">
        <w:t>ministra pro</w:t>
      </w:r>
      <w:r w:rsidR="00F90D32">
        <w:t> </w:t>
      </w:r>
      <w:r w:rsidR="00DA5507">
        <w:t>místní rozvoj Ing. </w:t>
      </w:r>
      <w:r w:rsidR="00860203">
        <w:t>Daniel Braun</w:t>
      </w:r>
      <w:r w:rsidR="008129BA">
        <w:t>, MA</w:t>
      </w:r>
      <w:r w:rsidR="003D540F">
        <w:t xml:space="preserve">. </w:t>
      </w:r>
      <w:r w:rsidR="008129BA">
        <w:t xml:space="preserve">Zároveň </w:t>
      </w:r>
      <w:r w:rsidR="003D540F">
        <w:t xml:space="preserve">pana 1. </w:t>
      </w:r>
      <w:r w:rsidR="008129BA">
        <w:t>n</w:t>
      </w:r>
      <w:r w:rsidR="003D540F">
        <w:t>áměstka omluvil, že se</w:t>
      </w:r>
      <w:r w:rsidR="00AE7C18">
        <w:t xml:space="preserve"> vzhledem k pracovním povinnostem v zahraničí </w:t>
      </w:r>
      <w:r>
        <w:t xml:space="preserve">nemohl </w:t>
      </w:r>
      <w:r w:rsidR="003D540F">
        <w:t xml:space="preserve">jednání </w:t>
      </w:r>
      <w:r>
        <w:t>zúčastnit</w:t>
      </w:r>
      <w:r w:rsidR="008129BA">
        <w:t>. Ing. Hartmann stručně představil body programu, k činnosti RVUR z</w:t>
      </w:r>
      <w:r w:rsidR="003D540F">
        <w:t xml:space="preserve">mínil aktualizaci </w:t>
      </w:r>
      <w:r w:rsidR="008129BA">
        <w:t>S</w:t>
      </w:r>
      <w:r w:rsidR="003D540F">
        <w:t xml:space="preserve">ituační zprávy </w:t>
      </w:r>
      <w:r w:rsidR="008129BA">
        <w:t>ke Strategickému rámci udržitelného rozvoje</w:t>
      </w:r>
      <w:r w:rsidR="008129BA" w:rsidRPr="008129BA">
        <w:t xml:space="preserve"> </w:t>
      </w:r>
      <w:r w:rsidR="008129BA">
        <w:t>zajišťovanou Výbore</w:t>
      </w:r>
      <w:r w:rsidR="00E972B0">
        <w:t>m pro strategii RVUR.</w:t>
      </w:r>
    </w:p>
    <w:p w:rsidR="00860203" w:rsidRDefault="00860203" w:rsidP="00860203">
      <w:pPr>
        <w:rPr>
          <w:b/>
          <w:bCs/>
          <w:sz w:val="28"/>
          <w:szCs w:val="28"/>
        </w:rPr>
      </w:pPr>
      <w:r w:rsidRPr="00A30BFE">
        <w:rPr>
          <w:b/>
          <w:bCs/>
          <w:sz w:val="28"/>
          <w:szCs w:val="28"/>
        </w:rPr>
        <w:t xml:space="preserve">1. Aktuální informace z PS Místní Agendy 21 (M. Petrová - MŽP) </w:t>
      </w:r>
    </w:p>
    <w:p w:rsidR="00BA4DB5" w:rsidRDefault="00BA4DB5" w:rsidP="00BA4DB5">
      <w:pPr>
        <w:jc w:val="both"/>
      </w:pPr>
      <w:r w:rsidRPr="00BA4DB5">
        <w:t>Ing. arch. M. Petrová v úvodu svého vystoupení poděkov</w:t>
      </w:r>
      <w:r w:rsidR="00E972B0">
        <w:t xml:space="preserve">ala MMR za finanční podporu </w:t>
      </w:r>
      <w:r>
        <w:t>slavnostní</w:t>
      </w:r>
      <w:r w:rsidR="00E972B0">
        <w:t>ho</w:t>
      </w:r>
      <w:r>
        <w:t xml:space="preserve"> předávání ocenění nejlepším Místním agendám 21 v České republice za rok 2013</w:t>
      </w:r>
      <w:r w:rsidR="00E972B0">
        <w:t xml:space="preserve"> (</w:t>
      </w:r>
      <w:r>
        <w:t xml:space="preserve">více v prezentaci, nebo na webových stránkách Národní sítě zdravých měst nebo na </w:t>
      </w:r>
      <w:hyperlink r:id="rId9" w:history="1">
        <w:r w:rsidRPr="00375495">
          <w:rPr>
            <w:rStyle w:val="Hypertextovodkaz"/>
          </w:rPr>
          <w:t>www.ma21.cz</w:t>
        </w:r>
      </w:hyperlink>
      <w:r w:rsidR="00E972B0">
        <w:t>)</w:t>
      </w:r>
      <w:r>
        <w:t xml:space="preserve">. </w:t>
      </w:r>
    </w:p>
    <w:p w:rsidR="00BA4DB5" w:rsidRDefault="00BA4DB5" w:rsidP="00BA4DB5">
      <w:pPr>
        <w:jc w:val="both"/>
      </w:pPr>
      <w:r w:rsidRPr="00BA4DB5">
        <w:t>M. Petrová</w:t>
      </w:r>
      <w:r>
        <w:t xml:space="preserve"> připojila vzpomínku na nedávno zesnulou Ing. Ivetu </w:t>
      </w:r>
      <w:proofErr w:type="spellStart"/>
      <w:r>
        <w:t>Špaltovou</w:t>
      </w:r>
      <w:proofErr w:type="spellEnd"/>
      <w:r>
        <w:t xml:space="preserve">, která stála u zrodu Rady vlády pro udržitelný rozvoj a po deset let se účastnila všech aktivit spojených s udržitelným rozvojem na MŽP, </w:t>
      </w:r>
      <w:r w:rsidR="007D47BA">
        <w:t>mj. přípravy účasti ČR na konferenci Rio+20.</w:t>
      </w:r>
    </w:p>
    <w:p w:rsidR="00614472" w:rsidRDefault="00614472" w:rsidP="00860203">
      <w:pPr>
        <w:rPr>
          <w:b/>
          <w:bCs/>
          <w:sz w:val="28"/>
          <w:szCs w:val="28"/>
        </w:rPr>
      </w:pPr>
    </w:p>
    <w:p w:rsidR="00614472" w:rsidRDefault="00614472" w:rsidP="00860203">
      <w:pPr>
        <w:rPr>
          <w:b/>
          <w:bCs/>
          <w:sz w:val="28"/>
          <w:szCs w:val="28"/>
        </w:rPr>
      </w:pPr>
    </w:p>
    <w:p w:rsidR="001D3977" w:rsidRDefault="00860203" w:rsidP="00860203">
      <w:pPr>
        <w:rPr>
          <w:b/>
          <w:bCs/>
          <w:sz w:val="28"/>
          <w:szCs w:val="28"/>
        </w:rPr>
      </w:pPr>
      <w:r w:rsidRPr="00A30BFE">
        <w:rPr>
          <w:b/>
          <w:bCs/>
          <w:sz w:val="28"/>
          <w:szCs w:val="28"/>
        </w:rPr>
        <w:lastRenderedPageBreak/>
        <w:t xml:space="preserve">2. Příprava Kohezní politiky 2014-2020 – EU úroveň (D. Grabmüllerová - </w:t>
      </w:r>
      <w:r w:rsidR="00F130F3">
        <w:rPr>
          <w:b/>
          <w:bCs/>
          <w:sz w:val="28"/>
          <w:szCs w:val="28"/>
        </w:rPr>
        <w:t>M</w:t>
      </w:r>
      <w:r w:rsidRPr="00A30BFE">
        <w:rPr>
          <w:b/>
          <w:bCs/>
          <w:sz w:val="28"/>
          <w:szCs w:val="28"/>
        </w:rPr>
        <w:t xml:space="preserve">MR) </w:t>
      </w:r>
    </w:p>
    <w:p w:rsidR="00860203" w:rsidRPr="00A30BFE" w:rsidRDefault="00860203" w:rsidP="00860203">
      <w:pPr>
        <w:rPr>
          <w:b/>
          <w:sz w:val="28"/>
          <w:szCs w:val="28"/>
        </w:rPr>
      </w:pPr>
      <w:r w:rsidRPr="00A30BFE">
        <w:rPr>
          <w:b/>
          <w:bCs/>
          <w:sz w:val="28"/>
          <w:szCs w:val="28"/>
        </w:rPr>
        <w:t xml:space="preserve">3. Příprava Kohezní politiky 2014-2020 – ČR úroveň (M. Daněk - MMR) </w:t>
      </w:r>
    </w:p>
    <w:p w:rsidR="000B09C4" w:rsidRDefault="00F130F3" w:rsidP="000B09C4">
      <w:pPr>
        <w:jc w:val="both"/>
      </w:pPr>
      <w:r w:rsidRPr="001D3977">
        <w:rPr>
          <w:u w:val="single"/>
        </w:rPr>
        <w:t>Ing. Hartmann</w:t>
      </w:r>
      <w:r w:rsidRPr="000B09C4">
        <w:t xml:space="preserve"> </w:t>
      </w:r>
      <w:r w:rsidR="000B09C4" w:rsidRPr="000B09C4">
        <w:t xml:space="preserve">zdůraznil ve vztahu k PS URROÚ význam územní dimenze jak </w:t>
      </w:r>
      <w:r w:rsidR="00E972B0">
        <w:t xml:space="preserve">u </w:t>
      </w:r>
      <w:r w:rsidR="000B09C4" w:rsidRPr="000B09C4">
        <w:t xml:space="preserve">Dohody o partnerství, tak jednotlivých operačních </w:t>
      </w:r>
      <w:r w:rsidR="000B09C4">
        <w:t>programů.</w:t>
      </w:r>
    </w:p>
    <w:p w:rsidR="000B09C4" w:rsidRDefault="000B09C4" w:rsidP="000B09C4">
      <w:pPr>
        <w:jc w:val="both"/>
      </w:pPr>
      <w:r w:rsidRPr="001D3977">
        <w:rPr>
          <w:u w:val="single"/>
        </w:rPr>
        <w:t>Ing. Daněk</w:t>
      </w:r>
      <w:r>
        <w:t xml:space="preserve"> reagoval doplněním, že pře</w:t>
      </w:r>
      <w:r w:rsidR="00F90D32">
        <w:t xml:space="preserve">s dlouhodobé </w:t>
      </w:r>
      <w:r>
        <w:t xml:space="preserve">debaty o územní dimenzi, ČR stále ještě nedošla k definitivnímu řešení územní dimenze a zejména integrovaných nástrojů, které jsou zakotveny v nařízení a stále existuje spor mezi jednotlivými složkami, které mají péči o území zákonem danou, tedy kraji reprezentovanými AK ČR, SMO ČR a SMS ČR a </w:t>
      </w:r>
      <w:r w:rsidR="00F90D32">
        <w:t xml:space="preserve">také </w:t>
      </w:r>
      <w:r>
        <w:t>národní sítí MAS</w:t>
      </w:r>
      <w:r w:rsidR="00F90D32">
        <w:t xml:space="preserve"> (</w:t>
      </w:r>
      <w:r>
        <w:t>v novém nařízení je</w:t>
      </w:r>
      <w:r w:rsidR="00F90D32">
        <w:t> </w:t>
      </w:r>
      <w:r>
        <w:t>zakotvena specifická aktivita „komunitně vedený místní rozvoj“, který MAS v minulosti využívaly v rámci PRV, do budoucna budou tyto aktivity rozšířeny i do dalších programů</w:t>
      </w:r>
      <w:r w:rsidR="00F90D32">
        <w:t>)</w:t>
      </w:r>
      <w:r>
        <w:t>.</w:t>
      </w:r>
      <w:r w:rsidR="004B1D6D">
        <w:t xml:space="preserve"> Tyto informace musí být obsaženy i v Dohodě o partnerství, a měly by být zakotveny i na úrovni vládních dokumentů včetně finanční alokace vůči jednotlivým partnerům. </w:t>
      </w:r>
    </w:p>
    <w:p w:rsidR="00DA0E7F" w:rsidRDefault="009D4880" w:rsidP="001E3DE1">
      <w:pPr>
        <w:jc w:val="both"/>
      </w:pPr>
      <w:r w:rsidRPr="001D3977">
        <w:rPr>
          <w:u w:val="single"/>
        </w:rPr>
        <w:t>Ing. Švec</w:t>
      </w:r>
      <w:r w:rsidR="00E972B0">
        <w:rPr>
          <w:u w:val="single"/>
        </w:rPr>
        <w:t xml:space="preserve">, </w:t>
      </w:r>
      <w:r w:rsidRPr="001D3977">
        <w:rPr>
          <w:u w:val="single"/>
        </w:rPr>
        <w:t>N</w:t>
      </w:r>
      <w:r w:rsidR="00DA0E7F">
        <w:rPr>
          <w:u w:val="single"/>
        </w:rPr>
        <w:t>árodní síť zdravých měst ČR (N</w:t>
      </w:r>
      <w:r w:rsidRPr="001D3977">
        <w:rPr>
          <w:u w:val="single"/>
        </w:rPr>
        <w:t>SZM</w:t>
      </w:r>
      <w:r w:rsidR="00DA0E7F">
        <w:rPr>
          <w:u w:val="single"/>
        </w:rPr>
        <w:t xml:space="preserve"> ČR)</w:t>
      </w:r>
      <w:r>
        <w:t xml:space="preserve"> - byly zde zmíněny politické organizace zastupující skupiny různých typů samospráv, </w:t>
      </w:r>
      <w:r w:rsidR="001E3DE1">
        <w:t>jako zástupce „</w:t>
      </w:r>
      <w:proofErr w:type="spellStart"/>
      <w:r w:rsidR="001E3DE1">
        <w:t>kvalitářské</w:t>
      </w:r>
      <w:proofErr w:type="spellEnd"/>
      <w:r w:rsidR="001E3DE1">
        <w:t xml:space="preserve">“ organizace by chtěl zmínit, že </w:t>
      </w:r>
      <w:r>
        <w:t>v zájmu udržitelného rozvoje se musí jednat o</w:t>
      </w:r>
      <w:r w:rsidR="00DA5507">
        <w:t> </w:t>
      </w:r>
      <w:r>
        <w:t>určitou inovaci v kvalitě veřejné správy</w:t>
      </w:r>
      <w:r w:rsidR="00E972B0">
        <w:t>. V</w:t>
      </w:r>
      <w:r>
        <w:t> rámci NSZM je zastoupena již více než polovina obyv</w:t>
      </w:r>
      <w:r w:rsidR="001E3DE1">
        <w:t>a</w:t>
      </w:r>
      <w:r>
        <w:t>tel ČR</w:t>
      </w:r>
      <w:r w:rsidR="001D3977">
        <w:t xml:space="preserve"> (šest krajů</w:t>
      </w:r>
      <w:r w:rsidR="00DA0E7F">
        <w:t>,</w:t>
      </w:r>
      <w:r w:rsidR="001D3977">
        <w:t xml:space="preserve"> včetně </w:t>
      </w:r>
      <w:proofErr w:type="spellStart"/>
      <w:r w:rsidR="001D3977">
        <w:t>hl.m</w:t>
      </w:r>
      <w:proofErr w:type="spellEnd"/>
      <w:r w:rsidR="001D3977">
        <w:t>. Prahy) a více než 100 měst a obcí, domnívá se, že se jedná o zajímavou činnost přispívající ke kvalitě veřejné správy a že by měl</w:t>
      </w:r>
      <w:r w:rsidR="00E972B0">
        <w:t>o</w:t>
      </w:r>
      <w:r w:rsidR="001D3977">
        <w:t xml:space="preserve"> být v mechanismech vedoucích k podpoře konkrétních projektů také toto kvalitativní hledisko zohledněno - jaká je kvalita místa, </w:t>
      </w:r>
      <w:r w:rsidR="00DA0E7F">
        <w:t xml:space="preserve">jeho </w:t>
      </w:r>
      <w:r w:rsidR="001D3977">
        <w:t xml:space="preserve">připravenost, z hlediska veřejné správy. Metody </w:t>
      </w:r>
      <w:r w:rsidR="003E0630">
        <w:t xml:space="preserve">zvyšování </w:t>
      </w:r>
      <w:r w:rsidR="001D3977">
        <w:t>kvalit</w:t>
      </w:r>
      <w:r w:rsidR="003E0630">
        <w:t>y</w:t>
      </w:r>
      <w:r w:rsidR="001D3977">
        <w:t xml:space="preserve"> veřejné správy</w:t>
      </w:r>
      <w:r w:rsidR="003E0630">
        <w:t xml:space="preserve">, které </w:t>
      </w:r>
      <w:r w:rsidR="001D3977">
        <w:t>má na starosti MV</w:t>
      </w:r>
      <w:r w:rsidR="003E0630">
        <w:t>, příp. MŽP jsou jasné</w:t>
      </w:r>
      <w:r w:rsidR="00DA0E7F">
        <w:t xml:space="preserve"> -</w:t>
      </w:r>
      <w:r w:rsidR="003E0630">
        <w:t xml:space="preserve"> evidence, kritéria, plány zlepšování</w:t>
      </w:r>
      <w:r w:rsidR="00DA0E7F">
        <w:t>.</w:t>
      </w:r>
    </w:p>
    <w:p w:rsidR="003E0630" w:rsidRDefault="003E0630" w:rsidP="001E3DE1">
      <w:pPr>
        <w:jc w:val="both"/>
      </w:pPr>
      <w:r w:rsidRPr="00DA5507">
        <w:rPr>
          <w:u w:val="single"/>
        </w:rPr>
        <w:t>Ing. Daněk</w:t>
      </w:r>
      <w:r>
        <w:t xml:space="preserve"> reagoval, že ho toto stanovisko překvapuje, SMS </w:t>
      </w:r>
      <w:r w:rsidR="00E972B0">
        <w:t xml:space="preserve">ČR </w:t>
      </w:r>
      <w:r>
        <w:t xml:space="preserve">byl přítomen debatám a kvalitativní stránku </w:t>
      </w:r>
      <w:r w:rsidR="00E972B0">
        <w:t xml:space="preserve">hodnocení </w:t>
      </w:r>
      <w:r>
        <w:t>neprosazoval.</w:t>
      </w:r>
    </w:p>
    <w:p w:rsidR="009D4880" w:rsidRDefault="003E0630" w:rsidP="001E3DE1">
      <w:pPr>
        <w:jc w:val="both"/>
      </w:pPr>
      <w:r w:rsidRPr="00DA5507">
        <w:rPr>
          <w:u w:val="single"/>
        </w:rPr>
        <w:t>Ing. Švec</w:t>
      </w:r>
      <w:r>
        <w:t xml:space="preserve"> - měl na mysli „</w:t>
      </w:r>
      <w:proofErr w:type="spellStart"/>
      <w:r>
        <w:t>kvalitářské</w:t>
      </w:r>
      <w:proofErr w:type="spellEnd"/>
      <w:r>
        <w:t>“ organizace, SMS</w:t>
      </w:r>
      <w:r w:rsidR="00E972B0">
        <w:t xml:space="preserve"> ČR </w:t>
      </w:r>
      <w:r>
        <w:t xml:space="preserve">je stejně jako SMO </w:t>
      </w:r>
      <w:r w:rsidR="00E972B0">
        <w:t xml:space="preserve">ČR </w:t>
      </w:r>
      <w:r>
        <w:t>a národní síť MAS spíše politická platforma.</w:t>
      </w:r>
    </w:p>
    <w:p w:rsidR="003E0630" w:rsidRDefault="003E0630" w:rsidP="003E0630">
      <w:pPr>
        <w:jc w:val="both"/>
      </w:pPr>
      <w:r w:rsidRPr="00DA5507">
        <w:rPr>
          <w:u w:val="single"/>
        </w:rPr>
        <w:t>Ing. arch. Grabmüllerová</w:t>
      </w:r>
      <w:r>
        <w:t xml:space="preserve"> - jak si představujete využití těchto metod řízení kvality místních samospráv na úrovni veřejné správy obecně? </w:t>
      </w:r>
    </w:p>
    <w:p w:rsidR="003E0630" w:rsidRDefault="003E0630" w:rsidP="00DA5507">
      <w:pPr>
        <w:jc w:val="both"/>
      </w:pPr>
      <w:r w:rsidRPr="00DA5507">
        <w:rPr>
          <w:u w:val="single"/>
        </w:rPr>
        <w:t>Ing. Švec</w:t>
      </w:r>
      <w:r>
        <w:t xml:space="preserve"> - nejobecnější mechanismus - v místě, kde již několik let probíhají kvalitní aktivity z hlediska územního a strategického rozvoje</w:t>
      </w:r>
      <w:r w:rsidR="00876128">
        <w:t xml:space="preserve">, kvality veřejné správy, které jsou dokumentovány a jejichž metody jsou garantovány ze strany státní správy, by byla na místě určitá bonifikace v konkrétních projektech těchto municipalit. Týká se to projektů, které podávají přímo samosprávy, případně jimi řízené organizace, tam </w:t>
      </w:r>
      <w:r w:rsidR="00DA0E7F">
        <w:t>vidí</w:t>
      </w:r>
      <w:r w:rsidR="00876128">
        <w:t xml:space="preserve"> přím</w:t>
      </w:r>
      <w:r w:rsidR="00DA0E7F">
        <w:t>ou</w:t>
      </w:r>
      <w:r w:rsidR="00876128">
        <w:t xml:space="preserve"> souvislost.</w:t>
      </w:r>
    </w:p>
    <w:p w:rsidR="00876128" w:rsidRDefault="00876128" w:rsidP="00DA5507">
      <w:pPr>
        <w:jc w:val="both"/>
      </w:pPr>
      <w:r w:rsidRPr="00DA5507">
        <w:rPr>
          <w:u w:val="single"/>
        </w:rPr>
        <w:t>Ing. Daněk</w:t>
      </w:r>
      <w:r>
        <w:t xml:space="preserve"> - MMR nesouhlasí s bonifikací, ale když je řeč o „územním principu“, většina z aktivit, které budou v území realizovány</w:t>
      </w:r>
      <w:r w:rsidR="00DA5507">
        <w:t>,</w:t>
      </w:r>
      <w:r>
        <w:t xml:space="preserve"> by měla být založena na strategiích, a tam by bylo možno již na počátku upl</w:t>
      </w:r>
      <w:r w:rsidR="00E972B0">
        <w:t>atnit tento strategický přístup</w:t>
      </w:r>
      <w:r>
        <w:t>. Systém bonifikace se v minulosti v mnohém neosvědčil, např.</w:t>
      </w:r>
      <w:r w:rsidR="00DA5507">
        <w:t xml:space="preserve"> 10% bonifikace pro</w:t>
      </w:r>
      <w:r>
        <w:t xml:space="preserve"> IPRM.</w:t>
      </w:r>
    </w:p>
    <w:p w:rsidR="00DA5507" w:rsidRDefault="00DA5507" w:rsidP="00DA5507">
      <w:pPr>
        <w:jc w:val="both"/>
      </w:pPr>
      <w:r w:rsidRPr="00DA5507">
        <w:rPr>
          <w:u w:val="single"/>
        </w:rPr>
        <w:t>Ivo Bělonohý</w:t>
      </w:r>
      <w:r>
        <w:rPr>
          <w:u w:val="single"/>
        </w:rPr>
        <w:t xml:space="preserve"> (S</w:t>
      </w:r>
      <w:r w:rsidRPr="00DA5507">
        <w:rPr>
          <w:u w:val="single"/>
        </w:rPr>
        <w:t xml:space="preserve">družení tajemníků </w:t>
      </w:r>
      <w:r>
        <w:rPr>
          <w:u w:val="single"/>
        </w:rPr>
        <w:t>městských a obecních úřadů)</w:t>
      </w:r>
      <w:r w:rsidRPr="00DA5507">
        <w:t xml:space="preserve"> -</w:t>
      </w:r>
      <w:r>
        <w:t xml:space="preserve"> doplni</w:t>
      </w:r>
      <w:r w:rsidR="00E972B0">
        <w:t>l</w:t>
      </w:r>
      <w:r>
        <w:t>, že </w:t>
      </w:r>
      <w:r w:rsidRPr="00DA5507">
        <w:t xml:space="preserve">když se chystalo toto </w:t>
      </w:r>
      <w:r>
        <w:t xml:space="preserve">programové </w:t>
      </w:r>
      <w:r w:rsidRPr="00DA5507">
        <w:t xml:space="preserve">období, </w:t>
      </w:r>
      <w:r>
        <w:t xml:space="preserve">bonifikace ve vztahu ke kvalitě, výkonu a činnost jednotlivých municipalit byla jedním z nosných prvků, který se nakonec do pravidel a do programů nedostal, resp. zúžil se pouze na </w:t>
      </w:r>
      <w:r w:rsidR="008D2718">
        <w:lastRenderedPageBreak/>
        <w:t xml:space="preserve">bonifikaci pro </w:t>
      </w:r>
      <w:r>
        <w:t xml:space="preserve">municipality, které měly zpracovaný integrovaný plán rozvoje města. IPRM se soustředily na municipality, které měly „obecní úřad s rozšířenou působností“, většina programů byla směřována na tato a větší města. </w:t>
      </w:r>
      <w:r w:rsidR="008D2718">
        <w:t>V tom spatřuj</w:t>
      </w:r>
      <w:r w:rsidR="00E972B0">
        <w:t>e</w:t>
      </w:r>
      <w:r w:rsidR="008D2718">
        <w:t xml:space="preserve"> určitý diskriminační prvek vůči menším municipalitám (obce s pověřeným obecním úřadem nebo tzv. „jedničkové“ obce se základní působností), pokud nemluvíme o podpoře výkonu přenesené působnosti státní správy</w:t>
      </w:r>
      <w:r w:rsidR="007D4F2D">
        <w:t>,</w:t>
      </w:r>
      <w:r w:rsidR="008D2718">
        <w:t xml:space="preserve"> tak je vzhledem k samostatné působnosti zcela irelevantní.</w:t>
      </w:r>
      <w:r w:rsidR="007D4F2D">
        <w:t xml:space="preserve"> Chápe administrativní náročnost vzhledem k počtu obcí v ČR, ale pokud se jedná o</w:t>
      </w:r>
      <w:r w:rsidR="00E72AC9">
        <w:t> </w:t>
      </w:r>
      <w:r w:rsidR="007D4F2D">
        <w:t>podporu mířící do určitého místa, a nikoli regionu, mikroregionu, musí být směřována nediskriminačně, tedy i na těch více než 6000 obcí.</w:t>
      </w:r>
    </w:p>
    <w:p w:rsidR="00052211" w:rsidRDefault="007D4F2D" w:rsidP="007D4F2D">
      <w:pPr>
        <w:jc w:val="both"/>
      </w:pPr>
      <w:r w:rsidRPr="00DA5507">
        <w:rPr>
          <w:u w:val="single"/>
        </w:rPr>
        <w:t>Ing. Daněk</w:t>
      </w:r>
      <w:r>
        <w:t xml:space="preserve"> - tato problematika se řeší a diskutuje, města jsou jen jednou ze zúčastněných stran, bonifikace 10% pro IPRM není dobrým řešením, další integrované nástroje požadované nařízeními jsou ITI (integrovan</w:t>
      </w:r>
      <w:r w:rsidR="008B116F">
        <w:t>á</w:t>
      </w:r>
      <w:r>
        <w:t xml:space="preserve"> územní investice), která by </w:t>
      </w:r>
      <w:r w:rsidR="00052211">
        <w:t xml:space="preserve">se </w:t>
      </w:r>
      <w:r>
        <w:t xml:space="preserve">měla na základě schválené Strategie regionálního rozvoje </w:t>
      </w:r>
      <w:r w:rsidR="00052211">
        <w:t xml:space="preserve">týkat šesti největších územně koncentračních aglomerací (Praha, </w:t>
      </w:r>
      <w:r w:rsidR="008B116F">
        <w:t xml:space="preserve">Brno, </w:t>
      </w:r>
      <w:r w:rsidR="00052211">
        <w:t xml:space="preserve">Ostrava, Plzeň, </w:t>
      </w:r>
      <w:r w:rsidR="008B116F">
        <w:t xml:space="preserve">dvě vícejaderné </w:t>
      </w:r>
      <w:r w:rsidR="00052211">
        <w:t>Hradecko-Pardubická a Chomutov - Ústí nad Labem s mezilehlými městy). Další integrovaný nástroj měl pokrýt města menší až do velikosti 25 tis. obyv.</w:t>
      </w:r>
      <w:r w:rsidR="008B116F">
        <w:t>,</w:t>
      </w:r>
      <w:r w:rsidR="00052211">
        <w:t xml:space="preserve"> následuje prostor pro Místní akční skupiny (komunitně vedený místní rozvoj), </w:t>
      </w:r>
      <w:r w:rsidR="00E72AC9">
        <w:t xml:space="preserve">alespoň </w:t>
      </w:r>
      <w:r w:rsidR="00052211">
        <w:t>takový byl prvotní koncept, který se ČR snažila prosadit. Na posledních jednáních s partnery se dospělo k ře</w:t>
      </w:r>
      <w:r w:rsidR="008B116F">
        <w:t>š</w:t>
      </w:r>
      <w:r w:rsidR="00052211">
        <w:t>ení, že</w:t>
      </w:r>
      <w:r w:rsidR="008B116F">
        <w:t xml:space="preserve"> integrované nástroje budou pouze pro šest ITI, k nim bývalá krajská města s Mladou Boleslaví. To je aktivita, kterou </w:t>
      </w:r>
      <w:r w:rsidR="00C132F2">
        <w:t xml:space="preserve">vůči ostatním partnerům </w:t>
      </w:r>
      <w:r w:rsidR="008B116F">
        <w:t>prosazovalo</w:t>
      </w:r>
      <w:r w:rsidR="00C132F2">
        <w:t xml:space="preserve"> SMO ČR. K dotazu - některé OP chtějí stavět na ORP, např. MŠMT v některých segmentech počítá, že 205 ORP bude segment, který bude řešit územní záležitosti. Pokud </w:t>
      </w:r>
      <w:r w:rsidR="000C6EFC">
        <w:t xml:space="preserve">bychom šli </w:t>
      </w:r>
      <w:r w:rsidR="00C132F2">
        <w:t>ve velikostní kategorii níže</w:t>
      </w:r>
      <w:r w:rsidR="00481888">
        <w:t xml:space="preserve"> a níže</w:t>
      </w:r>
      <w:r w:rsidR="00C132F2">
        <w:t xml:space="preserve">, nástrojů by bylo příliš velké množství a situace by byla nepřehledná. </w:t>
      </w:r>
    </w:p>
    <w:p w:rsidR="00860203" w:rsidRDefault="00860203" w:rsidP="003E0630">
      <w:pPr>
        <w:jc w:val="both"/>
        <w:rPr>
          <w:b/>
          <w:bCs/>
          <w:sz w:val="28"/>
          <w:szCs w:val="28"/>
        </w:rPr>
      </w:pPr>
      <w:r w:rsidRPr="00A30BFE">
        <w:rPr>
          <w:b/>
          <w:bCs/>
          <w:sz w:val="28"/>
          <w:szCs w:val="28"/>
        </w:rPr>
        <w:t xml:space="preserve">4. Strategické řízení (I. Hartmann - MMR) </w:t>
      </w:r>
    </w:p>
    <w:p w:rsidR="009F4463" w:rsidRPr="009F4463" w:rsidRDefault="00463773" w:rsidP="003E0630">
      <w:pPr>
        <w:jc w:val="both"/>
        <w:rPr>
          <w:b/>
          <w:bCs/>
          <w:sz w:val="28"/>
          <w:szCs w:val="28"/>
        </w:rPr>
      </w:pPr>
      <w:r w:rsidRPr="00DA5507">
        <w:rPr>
          <w:u w:val="single"/>
        </w:rPr>
        <w:t>Ing. Švec</w:t>
      </w:r>
      <w:r>
        <w:rPr>
          <w:u w:val="single"/>
        </w:rPr>
        <w:t xml:space="preserve"> </w:t>
      </w:r>
      <w:r w:rsidRPr="00463773">
        <w:t xml:space="preserve">- požádal, aby byl k zápisu přidán seznam administrátorů </w:t>
      </w:r>
      <w:r w:rsidR="00E972B0">
        <w:t xml:space="preserve">Databáze strategií </w:t>
      </w:r>
      <w:r>
        <w:t>za jednotlivé kraje</w:t>
      </w:r>
      <w:r w:rsidR="009F4463">
        <w:t>, a aby zástupci krajů posílali seznam zpracovaných strategických dokumentů ve svém území na všech úrovních, např. prostřednictvím PS, ke vložení do Databáze str</w:t>
      </w:r>
      <w:r w:rsidR="00E72AC9">
        <w:t>a</w:t>
      </w:r>
      <w:r w:rsidR="009F4463">
        <w:t xml:space="preserve">tegií. </w:t>
      </w:r>
    </w:p>
    <w:p w:rsidR="00860203" w:rsidRDefault="00860203" w:rsidP="00860203">
      <w:pPr>
        <w:rPr>
          <w:b/>
          <w:bCs/>
          <w:sz w:val="28"/>
          <w:szCs w:val="28"/>
        </w:rPr>
      </w:pPr>
      <w:r w:rsidRPr="00A30BFE">
        <w:rPr>
          <w:b/>
          <w:bCs/>
          <w:sz w:val="28"/>
          <w:szCs w:val="28"/>
        </w:rPr>
        <w:t xml:space="preserve">5. Informace o aktualizaci Politiky územního rozvoje ČR (F. Novosád – MMR) </w:t>
      </w:r>
    </w:p>
    <w:p w:rsidR="00FE224F" w:rsidRDefault="00FE224F" w:rsidP="00C24ADA">
      <w:pPr>
        <w:jc w:val="both"/>
        <w:rPr>
          <w:u w:val="single"/>
        </w:rPr>
      </w:pPr>
      <w:r w:rsidRPr="001D3977">
        <w:rPr>
          <w:u w:val="single"/>
        </w:rPr>
        <w:t>Ing. Hartmann</w:t>
      </w:r>
      <w:r>
        <w:rPr>
          <w:u w:val="single"/>
        </w:rPr>
        <w:t xml:space="preserve"> </w:t>
      </w:r>
      <w:r w:rsidRPr="00FE224F">
        <w:t xml:space="preserve">– jaký je </w:t>
      </w:r>
      <w:r w:rsidR="00C24ADA">
        <w:t xml:space="preserve">aktuální stav </w:t>
      </w:r>
      <w:r w:rsidRPr="00FE224F">
        <w:t>„DOL“ (Dunaj – Odra – Labe)</w:t>
      </w:r>
      <w:r w:rsidRPr="00C24ADA">
        <w:t xml:space="preserve"> </w:t>
      </w:r>
      <w:r w:rsidR="00C24ADA" w:rsidRPr="00C24ADA">
        <w:t>?</w:t>
      </w:r>
    </w:p>
    <w:p w:rsidR="00C24ADA" w:rsidRDefault="00C24ADA" w:rsidP="00C24ADA">
      <w:pPr>
        <w:jc w:val="both"/>
      </w:pPr>
      <w:r w:rsidRPr="00C24ADA">
        <w:rPr>
          <w:u w:val="single"/>
        </w:rPr>
        <w:t>Ing. Novosád</w:t>
      </w:r>
      <w:r w:rsidRPr="00C24ADA">
        <w:t xml:space="preserve"> </w:t>
      </w:r>
      <w:r>
        <w:t>–</w:t>
      </w:r>
      <w:r w:rsidRPr="00C24ADA">
        <w:t xml:space="preserve"> </w:t>
      </w:r>
      <w:r>
        <w:t xml:space="preserve">v aktuálně schválené a platné </w:t>
      </w:r>
      <w:r w:rsidRPr="00C24ADA">
        <w:t>Politice územního rozvoje</w:t>
      </w:r>
      <w:r>
        <w:t xml:space="preserve"> 2008 DOL není, pouze v usnesení vlády k </w:t>
      </w:r>
      <w:r w:rsidR="00E72AC9">
        <w:t>PUR</w:t>
      </w:r>
      <w:r>
        <w:t xml:space="preserve"> byl úkol „řešit územní ochranu“ DOL, v průběhu roku 2010 bylo přijato usnesení vlády, které ukládá krajům a obcím zachovávat územní rezervu pro toto propojení DOL, dokud vláda nerozhodne jinak</w:t>
      </w:r>
      <w:r w:rsidR="006C6519">
        <w:t>. V</w:t>
      </w:r>
      <w:r>
        <w:t xml:space="preserve"> aktualizaci </w:t>
      </w:r>
      <w:r w:rsidR="006C6519">
        <w:t xml:space="preserve">PUR </w:t>
      </w:r>
      <w:r>
        <w:t xml:space="preserve">je řešeno jako úkol pro obce a kraje, v kap. 7 „Úkoly pro územní plánování“, stále </w:t>
      </w:r>
      <w:r w:rsidR="00E72AC9">
        <w:t xml:space="preserve">je </w:t>
      </w:r>
      <w:r>
        <w:t xml:space="preserve">platný pokyn z usnesení vlády z května 2010, nicméně jako rozvojový záměr v Politice územního rozvoje </w:t>
      </w:r>
      <w:r w:rsidR="006C6519">
        <w:t xml:space="preserve">DOL </w:t>
      </w:r>
      <w:r>
        <w:t>vymezen není.</w:t>
      </w:r>
    </w:p>
    <w:p w:rsidR="00C24ADA" w:rsidRPr="00C24ADA" w:rsidRDefault="00C24ADA" w:rsidP="00C24ADA">
      <w:pPr>
        <w:jc w:val="both"/>
        <w:rPr>
          <w:u w:val="single"/>
        </w:rPr>
      </w:pPr>
      <w:r w:rsidRPr="001D3977">
        <w:rPr>
          <w:u w:val="single"/>
        </w:rPr>
        <w:t>Ing. Hartmann</w:t>
      </w:r>
      <w:r w:rsidRPr="00C24ADA">
        <w:t xml:space="preserve"> - V rámci</w:t>
      </w:r>
      <w:r>
        <w:t xml:space="preserve"> IOP se velice úspěšně čerpá na podporu územně plánovací </w:t>
      </w:r>
      <w:r w:rsidR="00CB2005">
        <w:t xml:space="preserve">činnosti, jak tomu bude v IROP? </w:t>
      </w:r>
    </w:p>
    <w:p w:rsidR="000146A4" w:rsidRDefault="00CB2005" w:rsidP="00C24ADA">
      <w:pPr>
        <w:jc w:val="both"/>
      </w:pPr>
      <w:r w:rsidRPr="00C24ADA">
        <w:rPr>
          <w:u w:val="single"/>
        </w:rPr>
        <w:t>Ing. Novosád</w:t>
      </w:r>
      <w:r w:rsidRPr="00CB2005">
        <w:t xml:space="preserve"> </w:t>
      </w:r>
      <w:r w:rsidR="006C6519" w:rsidRPr="006C6519">
        <w:t>–</w:t>
      </w:r>
      <w:r w:rsidRPr="006C6519">
        <w:t xml:space="preserve"> </w:t>
      </w:r>
      <w:r w:rsidR="006C6519" w:rsidRPr="006C6519">
        <w:t xml:space="preserve">V rámci IOP se realizovalo 5 </w:t>
      </w:r>
      <w:r w:rsidR="00E72AC9">
        <w:t>-</w:t>
      </w:r>
      <w:r w:rsidR="006C6519" w:rsidRPr="006C6519">
        <w:t xml:space="preserve"> </w:t>
      </w:r>
      <w:r w:rsidR="006C6519">
        <w:t>6</w:t>
      </w:r>
      <w:r w:rsidR="006C6519" w:rsidRPr="006C6519">
        <w:t xml:space="preserve"> výzev na podporu územně plánovací činnosti, především </w:t>
      </w:r>
      <w:r w:rsidR="006C6519">
        <w:t xml:space="preserve">územních plánů a územně </w:t>
      </w:r>
      <w:r w:rsidR="006C6519" w:rsidRPr="006C6519">
        <w:t>analytických podkladů</w:t>
      </w:r>
      <w:r w:rsidR="006C6519">
        <w:t xml:space="preserve">, v rámci IROP je také plánována aktivita na podporu „územně plánovacích dokumentů“, tato podpora by měla směřovat zejména na územní plány, regulační plány a územní studie. Je přislíbena poměrně vysoká alokace, vzhledem k tomu, že do roku </w:t>
      </w:r>
      <w:r w:rsidR="006C6519">
        <w:lastRenderedPageBreak/>
        <w:t>2020 mají být podle stavebního zákona a přechodných ustanovení pořízeny nové územní plány, předpokládáme, že</w:t>
      </w:r>
      <w:r w:rsidR="000146A4">
        <w:t xml:space="preserve"> právě </w:t>
      </w:r>
      <w:r w:rsidR="006C6519">
        <w:t>tam bude velká potřeba, a dále územní studie, kde příjemci by měly být kraje i obce.</w:t>
      </w:r>
    </w:p>
    <w:p w:rsidR="000146A4" w:rsidRDefault="000146A4" w:rsidP="00C24ADA">
      <w:pPr>
        <w:jc w:val="both"/>
      </w:pPr>
      <w:r w:rsidRPr="000146A4">
        <w:rPr>
          <w:u w:val="single"/>
        </w:rPr>
        <w:t>Petr Šašinka (Magistrát města Brna)</w:t>
      </w:r>
      <w:r>
        <w:t xml:space="preserve"> – k pracovním schématům rozvojových oblastí – podle čeho byly rozvojové oblasti územně vymezeny?</w:t>
      </w:r>
    </w:p>
    <w:p w:rsidR="00826D8B" w:rsidRPr="00D32463" w:rsidRDefault="000146A4" w:rsidP="00C24ADA">
      <w:pPr>
        <w:jc w:val="both"/>
      </w:pPr>
      <w:r w:rsidRPr="00C24ADA">
        <w:rPr>
          <w:u w:val="single"/>
        </w:rPr>
        <w:t>Ing. Novosád</w:t>
      </w:r>
      <w:r w:rsidRPr="00CB2005">
        <w:t xml:space="preserve"> </w:t>
      </w:r>
      <w:r w:rsidRPr="006C6519">
        <w:t>– V</w:t>
      </w:r>
      <w:r w:rsidR="00826D8B">
        <w:t xml:space="preserve"> Politice územního rozvoje zachováváme vymezení podle ORP a jejich částí a kraje mají za úkol v rámci Zásad územního rozvoje toto </w:t>
      </w:r>
      <w:proofErr w:type="spellStart"/>
      <w:r w:rsidR="00826D8B">
        <w:t>dovymezení</w:t>
      </w:r>
      <w:proofErr w:type="spellEnd"/>
      <w:r w:rsidR="00826D8B">
        <w:t xml:space="preserve"> provést na úroveň obcí, nicméně v rámci probíhající aktualizace je významná změna v tom, že jsme se u rozvojových oblastí snažili zohlednit typologii územní, která byla vytvořena v rámci Strategie regionálního rozvoje</w:t>
      </w:r>
      <w:r w:rsidR="00D32463">
        <w:t>.</w:t>
      </w:r>
    </w:p>
    <w:p w:rsidR="00860203" w:rsidRDefault="00860203" w:rsidP="00860203">
      <w:pPr>
        <w:rPr>
          <w:b/>
          <w:bCs/>
          <w:sz w:val="28"/>
          <w:szCs w:val="28"/>
        </w:rPr>
      </w:pPr>
      <w:r w:rsidRPr="00A30BFE">
        <w:rPr>
          <w:b/>
          <w:bCs/>
          <w:sz w:val="28"/>
          <w:szCs w:val="28"/>
        </w:rPr>
        <w:t xml:space="preserve">6. Strategický rozvoj Jihomoravského kraje - (Mgr. Tomáš Grulich, KÚ Jihomoravského kraje) </w:t>
      </w:r>
    </w:p>
    <w:p w:rsidR="00CA2437" w:rsidRDefault="005B1A87" w:rsidP="00512D0A">
      <w:pPr>
        <w:jc w:val="both"/>
      </w:pPr>
      <w:r w:rsidRPr="001D3977">
        <w:rPr>
          <w:u w:val="single"/>
        </w:rPr>
        <w:t>Ing. Hartmann</w:t>
      </w:r>
      <w:r w:rsidRPr="00C24ADA">
        <w:t xml:space="preserve"> </w:t>
      </w:r>
      <w:r>
        <w:t>–</w:t>
      </w:r>
      <w:r w:rsidRPr="00C24ADA">
        <w:t xml:space="preserve"> </w:t>
      </w:r>
      <w:r>
        <w:t xml:space="preserve">zdůraznil význam </w:t>
      </w:r>
      <w:r w:rsidR="00577142">
        <w:t>strate</w:t>
      </w:r>
      <w:r w:rsidR="00932B8C">
        <w:t xml:space="preserve">gických dokumentů </w:t>
      </w:r>
      <w:r>
        <w:t xml:space="preserve">při zdůvodnění čerpání v příštím období, </w:t>
      </w:r>
      <w:r w:rsidR="00932B8C">
        <w:t xml:space="preserve">jejich existence je rovněž nutná pro </w:t>
      </w:r>
      <w:r>
        <w:t>plnění předběžných podmínek</w:t>
      </w:r>
      <w:r w:rsidR="00CA2437">
        <w:t>, a význam Databáze strategií jako souhrnného zdroje informací.</w:t>
      </w:r>
    </w:p>
    <w:p w:rsidR="005B1A87" w:rsidRDefault="005B1A87" w:rsidP="00512D0A">
      <w:pPr>
        <w:jc w:val="both"/>
        <w:rPr>
          <w:bCs/>
        </w:rPr>
      </w:pPr>
      <w:r w:rsidRPr="005B1A87">
        <w:rPr>
          <w:bCs/>
          <w:u w:val="single"/>
        </w:rPr>
        <w:t>Ing. Zloch</w:t>
      </w:r>
      <w:r w:rsidRPr="005B1A87">
        <w:rPr>
          <w:bCs/>
        </w:rPr>
        <w:t xml:space="preserve"> (Jihočeský kraj) </w:t>
      </w:r>
      <w:r>
        <w:rPr>
          <w:bCs/>
        </w:rPr>
        <w:t xml:space="preserve">– v programu rozvoje kraje jsou vymezeny hospodářsky slabé oblasti vymezené v programu rozvoje kraje, jak </w:t>
      </w:r>
      <w:r w:rsidR="00CA2437">
        <w:rPr>
          <w:bCs/>
        </w:rPr>
        <w:t>jsou ve vašem kraji tyto oblasti podporovány?</w:t>
      </w:r>
      <w:r>
        <w:rPr>
          <w:bCs/>
        </w:rPr>
        <w:t xml:space="preserve">   </w:t>
      </w:r>
    </w:p>
    <w:p w:rsidR="00CA2437" w:rsidRDefault="00577142" w:rsidP="00512D0A">
      <w:pPr>
        <w:jc w:val="both"/>
        <w:rPr>
          <w:bCs/>
        </w:rPr>
      </w:pPr>
      <w:r w:rsidRPr="00577142">
        <w:rPr>
          <w:u w:val="single"/>
        </w:rPr>
        <w:t>Mgr. Grulich</w:t>
      </w:r>
      <w:r w:rsidRPr="00B13CCB">
        <w:t xml:space="preserve"> </w:t>
      </w:r>
      <w:r w:rsidR="00B13CCB">
        <w:t xml:space="preserve">- </w:t>
      </w:r>
      <w:r w:rsidRPr="00B13CCB">
        <w:t>v</w:t>
      </w:r>
      <w:r w:rsidR="005B1A87" w:rsidRPr="00B13CCB">
        <w:rPr>
          <w:bCs/>
        </w:rPr>
        <w:t> některých</w:t>
      </w:r>
      <w:r w:rsidR="005B1A87">
        <w:rPr>
          <w:bCs/>
        </w:rPr>
        <w:t xml:space="preserve"> dotačních programech </w:t>
      </w:r>
      <w:r>
        <w:rPr>
          <w:bCs/>
        </w:rPr>
        <w:t>jsou opra</w:t>
      </w:r>
      <w:r w:rsidR="00932B8C">
        <w:rPr>
          <w:bCs/>
        </w:rPr>
        <w:t>vdu</w:t>
      </w:r>
      <w:r w:rsidR="00CA2437">
        <w:rPr>
          <w:bCs/>
        </w:rPr>
        <w:t xml:space="preserve"> </w:t>
      </w:r>
      <w:r w:rsidR="00512D0A">
        <w:rPr>
          <w:bCs/>
        </w:rPr>
        <w:t xml:space="preserve">opatření </w:t>
      </w:r>
      <w:r w:rsidR="00CA2437">
        <w:rPr>
          <w:bCs/>
        </w:rPr>
        <w:t>selektivně mířen</w:t>
      </w:r>
      <w:r w:rsidR="00512D0A">
        <w:rPr>
          <w:bCs/>
        </w:rPr>
        <w:t>a</w:t>
      </w:r>
      <w:r w:rsidR="00CA2437">
        <w:rPr>
          <w:bCs/>
        </w:rPr>
        <w:t xml:space="preserve"> na</w:t>
      </w:r>
      <w:r w:rsidR="00512D0A">
        <w:rPr>
          <w:bCs/>
        </w:rPr>
        <w:t> </w:t>
      </w:r>
      <w:r w:rsidR="00CA2437">
        <w:rPr>
          <w:bCs/>
        </w:rPr>
        <w:t xml:space="preserve">vyjmenované oblasti, např. v minulosti v Programu rozvoje venkova obce z nejpostiženějších částí mohly podat dvě žádosti, </w:t>
      </w:r>
      <w:r w:rsidR="00512D0A">
        <w:rPr>
          <w:bCs/>
        </w:rPr>
        <w:t xml:space="preserve">zatímco </w:t>
      </w:r>
      <w:r w:rsidR="00CA2437">
        <w:rPr>
          <w:bCs/>
        </w:rPr>
        <w:t>ostatní jednu, v současnosti je tomu tak, že po omezení podpory z PRV zůstává podpora právě těchto obcí zachována</w:t>
      </w:r>
      <w:r w:rsidR="00512D0A">
        <w:rPr>
          <w:bCs/>
        </w:rPr>
        <w:t xml:space="preserve">. Kromě finanční podpory je </w:t>
      </w:r>
      <w:r w:rsidR="00B33293">
        <w:rPr>
          <w:bCs/>
        </w:rPr>
        <w:t xml:space="preserve">však </w:t>
      </w:r>
      <w:r w:rsidR="00512D0A">
        <w:rPr>
          <w:bCs/>
        </w:rPr>
        <w:t>poskytována podpora i</w:t>
      </w:r>
      <w:r w:rsidR="00B33293">
        <w:rPr>
          <w:bCs/>
        </w:rPr>
        <w:t> </w:t>
      </w:r>
      <w:r w:rsidR="00512D0A">
        <w:rPr>
          <w:bCs/>
        </w:rPr>
        <w:t xml:space="preserve">jinou formou, např. Vranov nad Dyjí, v zájmu oživení cestovního ruchu je potřeba zlepšit kvalitu vody ve Vranovské přehradě, </w:t>
      </w:r>
      <w:r w:rsidR="00B33293">
        <w:rPr>
          <w:bCs/>
        </w:rPr>
        <w:t xml:space="preserve">proto </w:t>
      </w:r>
      <w:r w:rsidR="00512D0A">
        <w:rPr>
          <w:bCs/>
        </w:rPr>
        <w:t>byl</w:t>
      </w:r>
      <w:r w:rsidR="00B33293">
        <w:rPr>
          <w:bCs/>
        </w:rPr>
        <w:t xml:space="preserve"> společně s povodím Dyje </w:t>
      </w:r>
      <w:r w:rsidR="00512D0A">
        <w:rPr>
          <w:bCs/>
        </w:rPr>
        <w:t xml:space="preserve">iniciován vznik projektu, který má za cíl toto zlepšení. </w:t>
      </w:r>
      <w:r w:rsidR="00B13CCB">
        <w:rPr>
          <w:bCs/>
        </w:rPr>
        <w:t xml:space="preserve">Z dalších dotačních programů, které mají jakousi územní dimenzi, </w:t>
      </w:r>
      <w:r w:rsidR="00B33293">
        <w:rPr>
          <w:bCs/>
        </w:rPr>
        <w:t xml:space="preserve">např. </w:t>
      </w:r>
      <w:r w:rsidR="00B13CCB">
        <w:rPr>
          <w:bCs/>
        </w:rPr>
        <w:t>p</w:t>
      </w:r>
      <w:r w:rsidR="00512D0A">
        <w:rPr>
          <w:bCs/>
        </w:rPr>
        <w:t>odpora začínajícím podnikatelům</w:t>
      </w:r>
      <w:r w:rsidR="00B13CCB">
        <w:rPr>
          <w:bCs/>
        </w:rPr>
        <w:t xml:space="preserve">, která se soustřeďuje na problémové oblasti, pro tyto účely by bylo vhodné sledování míry nezaměstnanosti do nižší úrovně, než jsou okresy, což snad v budoucnu v rámci nového systému MPSV bude možné.  </w:t>
      </w:r>
    </w:p>
    <w:p w:rsidR="00B33293" w:rsidRDefault="00B13CCB" w:rsidP="00512D0A">
      <w:pPr>
        <w:jc w:val="both"/>
        <w:rPr>
          <w:bCs/>
        </w:rPr>
      </w:pPr>
      <w:r w:rsidRPr="005B1A87">
        <w:rPr>
          <w:bCs/>
          <w:u w:val="single"/>
        </w:rPr>
        <w:t>Ing. Zloch</w:t>
      </w:r>
      <w:r w:rsidRPr="005B1A87">
        <w:rPr>
          <w:bCs/>
        </w:rPr>
        <w:t xml:space="preserve"> (Jihočeský kraj) </w:t>
      </w:r>
      <w:r>
        <w:rPr>
          <w:bCs/>
        </w:rPr>
        <w:t xml:space="preserve">– reagoval, že situace je podobná i v Jihočeském kraji, také </w:t>
      </w:r>
      <w:r w:rsidR="00B33293">
        <w:rPr>
          <w:bCs/>
        </w:rPr>
        <w:t xml:space="preserve">mají </w:t>
      </w:r>
      <w:r>
        <w:rPr>
          <w:bCs/>
        </w:rPr>
        <w:t xml:space="preserve">Program pro malé podnikatele, který zohledňuje, zda jsou z hospodářsky slabých oblastí, další dotaz – </w:t>
      </w:r>
      <w:r w:rsidR="00B33293">
        <w:rPr>
          <w:bCs/>
        </w:rPr>
        <w:t xml:space="preserve">projevoval se </w:t>
      </w:r>
      <w:r>
        <w:rPr>
          <w:bCs/>
        </w:rPr>
        <w:t>při sestavování metodiky a vymezování hospodářsky slabých oblastí vliv třetích stran ve smyslu zařazení – nezařazení?</w:t>
      </w:r>
    </w:p>
    <w:p w:rsidR="00B87DBB" w:rsidRDefault="00B87DBB" w:rsidP="00512D0A">
      <w:pPr>
        <w:jc w:val="both"/>
        <w:rPr>
          <w:bCs/>
        </w:rPr>
      </w:pPr>
      <w:r w:rsidRPr="00577142">
        <w:rPr>
          <w:u w:val="single"/>
        </w:rPr>
        <w:t>Mgr. Grulich</w:t>
      </w:r>
      <w:r w:rsidRPr="00B13CCB">
        <w:t xml:space="preserve"> </w:t>
      </w:r>
      <w:r>
        <w:t xml:space="preserve">- </w:t>
      </w:r>
      <w:r w:rsidR="00B33293">
        <w:rPr>
          <w:bCs/>
        </w:rPr>
        <w:t xml:space="preserve">domnívá se, že vymezení je správné, bylo </w:t>
      </w:r>
      <w:r>
        <w:t>p</w:t>
      </w:r>
      <w:r>
        <w:rPr>
          <w:bCs/>
        </w:rPr>
        <w:t xml:space="preserve">rojednáváno na širokých fórech, </w:t>
      </w:r>
      <w:r w:rsidR="00B33293">
        <w:rPr>
          <w:bCs/>
        </w:rPr>
        <w:t xml:space="preserve">při </w:t>
      </w:r>
      <w:r>
        <w:rPr>
          <w:bCs/>
        </w:rPr>
        <w:t>široké</w:t>
      </w:r>
      <w:r w:rsidR="00B33293">
        <w:rPr>
          <w:bCs/>
        </w:rPr>
        <w:t>m</w:t>
      </w:r>
      <w:r>
        <w:rPr>
          <w:bCs/>
        </w:rPr>
        <w:t xml:space="preserve"> zapojení partnerů, nedocházelo k  žádnému nemístnému zasahování, obce se např. snažily </w:t>
      </w:r>
      <w:r w:rsidR="00B33293">
        <w:rPr>
          <w:bCs/>
        </w:rPr>
        <w:t xml:space="preserve">samy </w:t>
      </w:r>
      <w:r>
        <w:rPr>
          <w:bCs/>
        </w:rPr>
        <w:t xml:space="preserve">navrhnout vhodné indikátory pro sledování, pro jihomoravský kraj </w:t>
      </w:r>
      <w:r w:rsidR="00B33293">
        <w:rPr>
          <w:bCs/>
        </w:rPr>
        <w:t xml:space="preserve">dobře </w:t>
      </w:r>
      <w:r>
        <w:rPr>
          <w:bCs/>
        </w:rPr>
        <w:t>vyhovuje typologie regionů obsažená ve Strategii regionálního rozvoje ČR.</w:t>
      </w:r>
    </w:p>
    <w:p w:rsidR="00CA2437" w:rsidRPr="00EB2068" w:rsidRDefault="00B87DBB" w:rsidP="00512D0A">
      <w:pPr>
        <w:jc w:val="both"/>
        <w:rPr>
          <w:bCs/>
        </w:rPr>
      </w:pPr>
      <w:r w:rsidRPr="00B87DBB">
        <w:rPr>
          <w:bCs/>
          <w:u w:val="single"/>
        </w:rPr>
        <w:t>Ing. Hartma</w:t>
      </w:r>
      <w:r>
        <w:rPr>
          <w:bCs/>
          <w:u w:val="single"/>
        </w:rPr>
        <w:t>n</w:t>
      </w:r>
      <w:r w:rsidRPr="00B87DBB">
        <w:rPr>
          <w:bCs/>
          <w:u w:val="single"/>
        </w:rPr>
        <w:t>n</w:t>
      </w:r>
      <w:r>
        <w:rPr>
          <w:bCs/>
        </w:rPr>
        <w:t xml:space="preserve"> reagoval na předchozí dotaz týkající se novely zákona o podpoře regionálního rozvoje – novela se již nedostala na program jednání, bude muset být znovu předložen nové vládě a novému parlamentu. Novela řeší tři oblasti – příprava a realizace regionálních programů</w:t>
      </w:r>
      <w:r w:rsidR="00EB2068">
        <w:rPr>
          <w:bCs/>
        </w:rPr>
        <w:t xml:space="preserve"> (</w:t>
      </w:r>
      <w:r>
        <w:rPr>
          <w:bCs/>
        </w:rPr>
        <w:t>včetně Strategie regionálního rozvoje, PRK a SRK</w:t>
      </w:r>
      <w:r w:rsidR="00EB2068">
        <w:rPr>
          <w:bCs/>
        </w:rPr>
        <w:t>)</w:t>
      </w:r>
      <w:r>
        <w:rPr>
          <w:bCs/>
        </w:rPr>
        <w:t xml:space="preserve">, </w:t>
      </w:r>
      <w:r w:rsidR="00EB2068">
        <w:rPr>
          <w:bCs/>
        </w:rPr>
        <w:t>problém</w:t>
      </w:r>
      <w:r w:rsidR="00B33293">
        <w:rPr>
          <w:bCs/>
        </w:rPr>
        <w:t xml:space="preserve">y </w:t>
      </w:r>
      <w:r w:rsidR="00EB2068">
        <w:rPr>
          <w:bCs/>
        </w:rPr>
        <w:t>se objevil</w:t>
      </w:r>
      <w:r w:rsidR="00B33293">
        <w:rPr>
          <w:bCs/>
        </w:rPr>
        <w:t>y</w:t>
      </w:r>
      <w:r w:rsidR="00EB2068">
        <w:rPr>
          <w:bCs/>
        </w:rPr>
        <w:t xml:space="preserve"> v souvislosti s administrací evropských fondů, a kontrolními opatřeními čerpání EU fondů.</w:t>
      </w:r>
      <w:r>
        <w:rPr>
          <w:bCs/>
        </w:rPr>
        <w:t xml:space="preserve">    </w:t>
      </w:r>
    </w:p>
    <w:p w:rsidR="00860203" w:rsidRDefault="00860203" w:rsidP="00512D0A">
      <w:pPr>
        <w:jc w:val="both"/>
        <w:rPr>
          <w:b/>
          <w:bCs/>
          <w:sz w:val="28"/>
          <w:szCs w:val="28"/>
        </w:rPr>
      </w:pPr>
      <w:r w:rsidRPr="00A30BFE">
        <w:rPr>
          <w:b/>
          <w:bCs/>
          <w:sz w:val="28"/>
          <w:szCs w:val="28"/>
        </w:rPr>
        <w:lastRenderedPageBreak/>
        <w:t>7. Různé</w:t>
      </w:r>
    </w:p>
    <w:p w:rsidR="00EB2068" w:rsidRPr="00EB2068" w:rsidRDefault="00932B8C" w:rsidP="00EB2068">
      <w:pPr>
        <w:jc w:val="both"/>
        <w:rPr>
          <w:bCs/>
          <w:u w:val="single"/>
        </w:rPr>
      </w:pPr>
      <w:r w:rsidRPr="00932B8C">
        <w:rPr>
          <w:bCs/>
          <w:u w:val="single"/>
        </w:rPr>
        <w:t xml:space="preserve">Ing. Hošek (odbor </w:t>
      </w:r>
      <w:r w:rsidRPr="00EB2068">
        <w:rPr>
          <w:bCs/>
          <w:u w:val="single"/>
        </w:rPr>
        <w:t>cestovního ruchu MMR)</w:t>
      </w:r>
      <w:r w:rsidR="00EB2068" w:rsidRPr="00EB2068">
        <w:rPr>
          <w:bCs/>
          <w:u w:val="single"/>
        </w:rPr>
        <w:t xml:space="preserve"> - </w:t>
      </w:r>
      <w:r w:rsidR="00EB2068" w:rsidRPr="00EB2068">
        <w:rPr>
          <w:u w:val="single"/>
        </w:rPr>
        <w:t>Představení dvou aktualit z oblasti cestovního ruchu</w:t>
      </w:r>
    </w:p>
    <w:p w:rsidR="00EB2068" w:rsidRDefault="00EB2068" w:rsidP="00EB2068">
      <w:pPr>
        <w:pStyle w:val="Prosttext"/>
        <w:jc w:val="both"/>
      </w:pPr>
      <w:r>
        <w:t>1.  Evropský systém ukazatelů v oblasti cestovního ruchu, TOOLKIT, Soubor nástrojů pro udržitelné destinace</w:t>
      </w:r>
      <w:r w:rsidRPr="009265FF">
        <w:t xml:space="preserve"> </w:t>
      </w:r>
      <w:r>
        <w:t xml:space="preserve">- pro metodickou aplikaci pro turistické destinace v ČR, </w:t>
      </w:r>
      <w:r w:rsidR="00246EA8">
        <w:t xml:space="preserve">vydán DG </w:t>
      </w:r>
      <w:proofErr w:type="spellStart"/>
      <w:r w:rsidR="00246EA8">
        <w:t>Enterprise</w:t>
      </w:r>
      <w:proofErr w:type="spellEnd"/>
      <w:r w:rsidR="00246EA8">
        <w:t xml:space="preserve"> and </w:t>
      </w:r>
      <w:proofErr w:type="spellStart"/>
      <w:r w:rsidR="00246EA8">
        <w:t>Industry</w:t>
      </w:r>
      <w:proofErr w:type="spellEnd"/>
      <w:r w:rsidR="00246EA8">
        <w:t xml:space="preserve">, únor 2013, </w:t>
      </w:r>
      <w:r>
        <w:t>ověřen v rámci šesti ročníků soutěže Evropské komise EDEN.</w:t>
      </w:r>
      <w:r w:rsidR="00246EA8">
        <w:t xml:space="preserve">  Viz odkaz na český překlad materiálu na portálu MMR, </w:t>
      </w:r>
      <w:hyperlink r:id="rId10" w:history="1">
        <w:r w:rsidRPr="00604ECC">
          <w:rPr>
            <w:rStyle w:val="Hypertextovodkaz"/>
          </w:rPr>
          <w:t>http://www.mmr.cz/cs/Podpora-regionu-a-cestovni-ruch/Cestovni-ruch/Informace-Udalosti/Evropsky-system-ukazatelu-v-oblasti-cestovniho-ruc</w:t>
        </w:r>
      </w:hyperlink>
    </w:p>
    <w:p w:rsidR="00EB2068" w:rsidRPr="009265FF" w:rsidRDefault="00EB2068" w:rsidP="00EB2068">
      <w:pPr>
        <w:pStyle w:val="Prosttext"/>
        <w:tabs>
          <w:tab w:val="left" w:pos="3576"/>
        </w:tabs>
        <w:jc w:val="both"/>
        <w:rPr>
          <w:b/>
        </w:rPr>
      </w:pPr>
      <w:r>
        <w:rPr>
          <w:b/>
        </w:rPr>
        <w:tab/>
      </w:r>
    </w:p>
    <w:p w:rsidR="00932B8C" w:rsidRDefault="00EB2068" w:rsidP="00EB2068">
      <w:pPr>
        <w:jc w:val="both"/>
      </w:pPr>
      <w:r>
        <w:t>2</w:t>
      </w:r>
      <w:r w:rsidR="00932B8C" w:rsidRPr="00932B8C">
        <w:t>.</w:t>
      </w:r>
      <w:r w:rsidR="00932B8C">
        <w:t xml:space="preserve"> </w:t>
      </w:r>
      <w:r w:rsidR="00EA7805">
        <w:t xml:space="preserve">prestižní soutěž Evropské komise EDEN o Excelentní turistickou destinaci 2013, </w:t>
      </w:r>
      <w:r w:rsidR="00932B8C">
        <w:t xml:space="preserve">ukázka turistického produktu </w:t>
      </w:r>
      <w:r>
        <w:t>–</w:t>
      </w:r>
      <w:r w:rsidR="00EA7805">
        <w:t xml:space="preserve"> </w:t>
      </w:r>
      <w:r>
        <w:t xml:space="preserve">příklad dobré praxe udržitelného cestovního ruchu v regionu </w:t>
      </w:r>
      <w:r w:rsidR="00B33293">
        <w:t xml:space="preserve">na téma „zpřístupnění cestovního ruchu“, </w:t>
      </w:r>
      <w:r>
        <w:t>přihlášeno 15 destinací ČR</w:t>
      </w:r>
      <w:r w:rsidR="00B33293">
        <w:t xml:space="preserve">, </w:t>
      </w:r>
      <w:r>
        <w:t>vítěz</w:t>
      </w:r>
      <w:r w:rsidR="00B33293">
        <w:t xml:space="preserve"> EDEN 2013</w:t>
      </w:r>
      <w:r>
        <w:t xml:space="preserve"> - „</w:t>
      </w:r>
      <w:r w:rsidR="00932B8C">
        <w:t>Lipno bez bariér</w:t>
      </w:r>
      <w:r>
        <w:t xml:space="preserve"> – jaro, léto, podzim, zima“.</w:t>
      </w:r>
    </w:p>
    <w:p w:rsidR="007034C3" w:rsidRDefault="007034C3" w:rsidP="00EB2068">
      <w:pPr>
        <w:jc w:val="both"/>
      </w:pPr>
      <w:r>
        <w:t xml:space="preserve">Navrhovaná témata pro EDEN 2014 - EDEN FAMILY - rekreace rodin s dětmi, rodinná turistika, EDEN  GASTRONOMY – prezentace regionálních gastronomických specialit, CULTURAL HERITAGE – stezky kulturního a přírodního dědictví. Prostřednictvím agentury </w:t>
      </w:r>
      <w:proofErr w:type="spellStart"/>
      <w:r>
        <w:t>Czechtourism</w:t>
      </w:r>
      <w:proofErr w:type="spellEnd"/>
      <w:r>
        <w:t xml:space="preserve"> věnuje MMR vítězi 500tis. Kč.</w:t>
      </w:r>
    </w:p>
    <w:p w:rsidR="000F2D05" w:rsidRDefault="000F2D05" w:rsidP="00EB2068">
      <w:pPr>
        <w:jc w:val="both"/>
      </w:pPr>
    </w:p>
    <w:p w:rsidR="00EA7805" w:rsidRDefault="00EA7805" w:rsidP="00EA7805">
      <w:pPr>
        <w:jc w:val="both"/>
      </w:pPr>
      <w:r>
        <w:t>Zapsala: Ing. Johana Benešová</w:t>
      </w:r>
    </w:p>
    <w:p w:rsidR="00860203" w:rsidRDefault="00EA7805" w:rsidP="00932B8C">
      <w:pPr>
        <w:jc w:val="both"/>
        <w:rPr>
          <w:b/>
        </w:rPr>
      </w:pPr>
      <w:r>
        <w:t xml:space="preserve"> </w:t>
      </w:r>
    </w:p>
    <w:sectPr w:rsidR="00860203" w:rsidSect="00F130F3"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0D" w:rsidRDefault="0080130D" w:rsidP="00826D8B">
      <w:pPr>
        <w:spacing w:after="0" w:line="240" w:lineRule="auto"/>
      </w:pPr>
      <w:r>
        <w:separator/>
      </w:r>
    </w:p>
  </w:endnote>
  <w:endnote w:type="continuationSeparator" w:id="0">
    <w:p w:rsidR="0080130D" w:rsidRDefault="0080130D" w:rsidP="0082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179631"/>
      <w:docPartObj>
        <w:docPartGallery w:val="Page Numbers (Bottom of Page)"/>
        <w:docPartUnique/>
      </w:docPartObj>
    </w:sdtPr>
    <w:sdtEndPr/>
    <w:sdtContent>
      <w:p w:rsidR="00826D8B" w:rsidRDefault="00826D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32">
          <w:rPr>
            <w:noProof/>
          </w:rPr>
          <w:t>1</w:t>
        </w:r>
        <w:r>
          <w:fldChar w:fldCharType="end"/>
        </w:r>
      </w:p>
    </w:sdtContent>
  </w:sdt>
  <w:p w:rsidR="00826D8B" w:rsidRDefault="00826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0D" w:rsidRDefault="0080130D" w:rsidP="00826D8B">
      <w:pPr>
        <w:spacing w:after="0" w:line="240" w:lineRule="auto"/>
      </w:pPr>
      <w:r>
        <w:separator/>
      </w:r>
    </w:p>
  </w:footnote>
  <w:footnote w:type="continuationSeparator" w:id="0">
    <w:p w:rsidR="0080130D" w:rsidRDefault="0080130D" w:rsidP="0082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654E"/>
    <w:multiLevelType w:val="hybridMultilevel"/>
    <w:tmpl w:val="2904D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6860"/>
    <w:multiLevelType w:val="hybridMultilevel"/>
    <w:tmpl w:val="57501EB4"/>
    <w:lvl w:ilvl="0" w:tplc="B3BEF9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9"/>
    <w:rsid w:val="000146A4"/>
    <w:rsid w:val="00050C73"/>
    <w:rsid w:val="00052211"/>
    <w:rsid w:val="00054195"/>
    <w:rsid w:val="0009224C"/>
    <w:rsid w:val="000B09C4"/>
    <w:rsid w:val="000C6EFC"/>
    <w:rsid w:val="000D00EB"/>
    <w:rsid w:val="000F2D05"/>
    <w:rsid w:val="00102534"/>
    <w:rsid w:val="001D3977"/>
    <w:rsid w:val="001E3DE1"/>
    <w:rsid w:val="00202E2F"/>
    <w:rsid w:val="002302F3"/>
    <w:rsid w:val="00246EA8"/>
    <w:rsid w:val="002D691D"/>
    <w:rsid w:val="00316916"/>
    <w:rsid w:val="0035417C"/>
    <w:rsid w:val="00355289"/>
    <w:rsid w:val="003C5F92"/>
    <w:rsid w:val="003D4B99"/>
    <w:rsid w:val="003D540F"/>
    <w:rsid w:val="003E0630"/>
    <w:rsid w:val="00445C8D"/>
    <w:rsid w:val="00463773"/>
    <w:rsid w:val="00481888"/>
    <w:rsid w:val="004B1D6D"/>
    <w:rsid w:val="004E632C"/>
    <w:rsid w:val="00512D0A"/>
    <w:rsid w:val="00522307"/>
    <w:rsid w:val="00524AF1"/>
    <w:rsid w:val="00554897"/>
    <w:rsid w:val="00575043"/>
    <w:rsid w:val="005756C1"/>
    <w:rsid w:val="00577142"/>
    <w:rsid w:val="005B1A87"/>
    <w:rsid w:val="005D6332"/>
    <w:rsid w:val="005F06BE"/>
    <w:rsid w:val="00614472"/>
    <w:rsid w:val="006A0F5C"/>
    <w:rsid w:val="006C6519"/>
    <w:rsid w:val="006F5C3E"/>
    <w:rsid w:val="007034C3"/>
    <w:rsid w:val="00704005"/>
    <w:rsid w:val="0077034D"/>
    <w:rsid w:val="00785911"/>
    <w:rsid w:val="007D47BA"/>
    <w:rsid w:val="007D4F2D"/>
    <w:rsid w:val="0080130D"/>
    <w:rsid w:val="008129BA"/>
    <w:rsid w:val="00826D8B"/>
    <w:rsid w:val="00860203"/>
    <w:rsid w:val="00865316"/>
    <w:rsid w:val="00876128"/>
    <w:rsid w:val="008B116F"/>
    <w:rsid w:val="008D2718"/>
    <w:rsid w:val="00913235"/>
    <w:rsid w:val="00921251"/>
    <w:rsid w:val="009265FF"/>
    <w:rsid w:val="00932B8C"/>
    <w:rsid w:val="00963924"/>
    <w:rsid w:val="009B44DE"/>
    <w:rsid w:val="009D4880"/>
    <w:rsid w:val="009F4463"/>
    <w:rsid w:val="00A30BFE"/>
    <w:rsid w:val="00A37FC0"/>
    <w:rsid w:val="00A71BB6"/>
    <w:rsid w:val="00A9632F"/>
    <w:rsid w:val="00AC194E"/>
    <w:rsid w:val="00AE7C18"/>
    <w:rsid w:val="00B13CCB"/>
    <w:rsid w:val="00B27288"/>
    <w:rsid w:val="00B33293"/>
    <w:rsid w:val="00B85DFC"/>
    <w:rsid w:val="00B87DBB"/>
    <w:rsid w:val="00B90254"/>
    <w:rsid w:val="00BA4DB5"/>
    <w:rsid w:val="00C11F77"/>
    <w:rsid w:val="00C132F2"/>
    <w:rsid w:val="00C168F3"/>
    <w:rsid w:val="00C24ADA"/>
    <w:rsid w:val="00CA2437"/>
    <w:rsid w:val="00CB2005"/>
    <w:rsid w:val="00CC49F5"/>
    <w:rsid w:val="00CD52D4"/>
    <w:rsid w:val="00CE508D"/>
    <w:rsid w:val="00D267DF"/>
    <w:rsid w:val="00D32463"/>
    <w:rsid w:val="00D60431"/>
    <w:rsid w:val="00D952CA"/>
    <w:rsid w:val="00DA0E7F"/>
    <w:rsid w:val="00DA5507"/>
    <w:rsid w:val="00E14C5F"/>
    <w:rsid w:val="00E157B9"/>
    <w:rsid w:val="00E30344"/>
    <w:rsid w:val="00E72AC9"/>
    <w:rsid w:val="00E76A3E"/>
    <w:rsid w:val="00E85A57"/>
    <w:rsid w:val="00E972B0"/>
    <w:rsid w:val="00EA7805"/>
    <w:rsid w:val="00EB2068"/>
    <w:rsid w:val="00EB7DA9"/>
    <w:rsid w:val="00F130F3"/>
    <w:rsid w:val="00F83548"/>
    <w:rsid w:val="00F84A43"/>
    <w:rsid w:val="00F90D32"/>
    <w:rsid w:val="00FC19BD"/>
    <w:rsid w:val="00FE224F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DB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D8B"/>
  </w:style>
  <w:style w:type="paragraph" w:styleId="Zpat">
    <w:name w:val="footer"/>
    <w:basedOn w:val="Normln"/>
    <w:link w:val="ZpatChar"/>
    <w:uiPriority w:val="99"/>
    <w:unhideWhenUsed/>
    <w:rsid w:val="008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D8B"/>
  </w:style>
  <w:style w:type="paragraph" w:styleId="Odstavecseseznamem">
    <w:name w:val="List Paragraph"/>
    <w:basedOn w:val="Normln"/>
    <w:uiPriority w:val="34"/>
    <w:qFormat/>
    <w:rsid w:val="005B1A8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32B8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2B8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DB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D8B"/>
  </w:style>
  <w:style w:type="paragraph" w:styleId="Zpat">
    <w:name w:val="footer"/>
    <w:basedOn w:val="Normln"/>
    <w:link w:val="ZpatChar"/>
    <w:uiPriority w:val="99"/>
    <w:unhideWhenUsed/>
    <w:rsid w:val="008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D8B"/>
  </w:style>
  <w:style w:type="paragraph" w:styleId="Odstavecseseznamem">
    <w:name w:val="List Paragraph"/>
    <w:basedOn w:val="Normln"/>
    <w:uiPriority w:val="34"/>
    <w:qFormat/>
    <w:rsid w:val="005B1A8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32B8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2B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mr.cz/cs/Podpora-regionu-a-cestovni-ruch/Cestovni-ruch/Informace-Udalosti/Evropsky-system-ukazatelu-v-oblasti-cestovniho-ru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21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87B6-C77D-4948-B797-D5667012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*</cp:lastModifiedBy>
  <cp:revision>2</cp:revision>
  <cp:lastPrinted>2014-02-21T12:31:00Z</cp:lastPrinted>
  <dcterms:created xsi:type="dcterms:W3CDTF">2014-09-22T09:36:00Z</dcterms:created>
  <dcterms:modified xsi:type="dcterms:W3CDTF">2014-09-22T09:36:00Z</dcterms:modified>
</cp:coreProperties>
</file>