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03" w:rsidRPr="008231C6" w:rsidRDefault="008231C6" w:rsidP="007A1F0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231C6">
        <w:rPr>
          <w:rFonts w:ascii="Arial" w:hAnsi="Arial" w:cs="Arial"/>
          <w:b/>
          <w:sz w:val="28"/>
          <w:szCs w:val="28"/>
          <w:u w:val="single"/>
        </w:rPr>
        <w:t>Informace pro autorizované osoby k PK Realitní zprostředkovatel</w:t>
      </w:r>
      <w:r w:rsidR="007A1F03" w:rsidRPr="008231C6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8231C6" w:rsidRPr="008231C6" w:rsidRDefault="008231C6" w:rsidP="007A1F0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231C6" w:rsidRPr="008231C6" w:rsidRDefault="008231C6" w:rsidP="008231C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</w:rPr>
      </w:pPr>
      <w:r w:rsidRPr="008231C6">
        <w:rPr>
          <w:rFonts w:ascii="Arial" w:hAnsi="Arial" w:cs="Arial"/>
          <w:b/>
          <w:sz w:val="24"/>
          <w:szCs w:val="24"/>
          <w:u w:val="single"/>
        </w:rPr>
        <w:t xml:space="preserve">Doporučení ke kompetenci </w:t>
      </w:r>
    </w:p>
    <w:p w:rsidR="007A1F03" w:rsidRPr="002864EB" w:rsidRDefault="007A1F03" w:rsidP="007A1F0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994B15" w:rsidRPr="008231C6" w:rsidRDefault="007A1F03" w:rsidP="00C7096B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8231C6">
        <w:rPr>
          <w:rFonts w:ascii="Arial" w:hAnsi="Arial" w:cs="Arial"/>
          <w:b/>
        </w:rPr>
        <w:t>Orientace v právní úpravě týkající se činnosti zprostředkovatele v oblasti realit</w:t>
      </w:r>
    </w:p>
    <w:p w:rsidR="007A1F03" w:rsidRPr="002864EB" w:rsidRDefault="007A1F03" w:rsidP="007A1F0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A1F03" w:rsidRPr="002864EB" w:rsidRDefault="007A1F03" w:rsidP="007A1F03">
      <w:pPr>
        <w:spacing w:after="0" w:line="240" w:lineRule="auto"/>
        <w:ind w:left="426"/>
        <w:jc w:val="both"/>
        <w:rPr>
          <w:rFonts w:ascii="Arial" w:hAnsi="Arial" w:cs="Arial"/>
          <w:b/>
          <w:i/>
        </w:rPr>
      </w:pPr>
      <w:r w:rsidRPr="00C7096B">
        <w:rPr>
          <w:rFonts w:ascii="Arial" w:hAnsi="Arial" w:cs="Arial"/>
          <w:b/>
          <w:i/>
        </w:rPr>
        <w:t>kritérium i):</w:t>
      </w:r>
      <w:r w:rsidRPr="002864EB">
        <w:rPr>
          <w:rFonts w:ascii="Arial" w:hAnsi="Arial" w:cs="Arial"/>
          <w:b/>
          <w:i/>
        </w:rPr>
        <w:t xml:space="preserve"> Prokázat znalost směrnice Evropského parlamentu a Rady (EU) 2015/849 ze dne 20. května 2015, o předcházení využívání finančního systému k praní peněz nebo financování terorismu a zákona č. 253/2008 Sb., o některých opatřeních proti legalizaci výnosu z trestné činnosti a financování terorismu, ve znění pozdějších předpisů, a to v ustanoveních souvisejících s činností realitního zprostředkovatele</w:t>
      </w:r>
    </w:p>
    <w:p w:rsidR="007A1F03" w:rsidRPr="002864EB" w:rsidRDefault="007A1F03" w:rsidP="007A1F03">
      <w:pPr>
        <w:spacing w:after="0" w:line="240" w:lineRule="auto"/>
        <w:ind w:left="426"/>
        <w:jc w:val="both"/>
        <w:rPr>
          <w:rFonts w:ascii="Arial" w:hAnsi="Arial" w:cs="Arial"/>
          <w:b/>
          <w:i/>
        </w:rPr>
      </w:pP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1. Pro realitního zprostředkovatele, který zprostředkovává prodej nemovitosti, je klientem ve smyslu AML zákona (zákon č. 253/2008 Sb.):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a) pouze ten, s kým má uzavřenu smlouvu o zprostředkování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2864EB">
        <w:rPr>
          <w:rFonts w:ascii="Arial" w:eastAsia="Times New Roman" w:hAnsi="Arial" w:cs="Arial"/>
          <w:b/>
          <w:color w:val="000000"/>
          <w:u w:val="single"/>
        </w:rPr>
        <w:t>b) vždy oba, prodávající i kupující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bCs/>
          <w:color w:val="000000"/>
        </w:rPr>
        <w:t>c) vždy výhradně kupující, z důvodu nutnosti zjišťovat zdroj finančních prostředků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2. Politicky exponovaná osoba je: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a) každý člen politické strany či hnutí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b/>
          <w:bCs/>
          <w:color w:val="000000"/>
          <w:u w:val="single"/>
        </w:rPr>
        <w:t>b) osoba ve významné veřejné funkci s regionálním či celostátním významem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c) člen vlády, poslanec a senátor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3. Oznámení podezřelého obchodu, kterým se rozumí obchod vyvolávající podezření na praní peněz či financování terorismu, se zasílá: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 xml:space="preserve">a) na Polici 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b) České obchodní inspekci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2864EB">
        <w:rPr>
          <w:rFonts w:ascii="Arial" w:eastAsia="Times New Roman" w:hAnsi="Arial" w:cs="Arial"/>
          <w:b/>
          <w:color w:val="000000"/>
          <w:u w:val="single"/>
        </w:rPr>
        <w:t>c) Finančnímu analytickému úřadu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4. Identifikaci klienta může realitní zprostředkovatel provést: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2864EB">
        <w:rPr>
          <w:rFonts w:ascii="Arial" w:eastAsia="Times New Roman" w:hAnsi="Arial" w:cs="Arial"/>
          <w:b/>
          <w:color w:val="000000"/>
          <w:u w:val="single"/>
        </w:rPr>
        <w:t>a) za fyzické přítomnosti klienta nebo jeho zplnomocněného zástupce nebo prostřednictvím CzechPOINTu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b) prostřednictvím zaslané kopie dokladu totožnosti a jednoho dalšího dokladu</w:t>
      </w:r>
    </w:p>
    <w:p w:rsidR="002864EB" w:rsidRPr="002864EB" w:rsidRDefault="002864EB" w:rsidP="002864E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</w:rPr>
      </w:pPr>
      <w:r w:rsidRPr="002864EB">
        <w:rPr>
          <w:rFonts w:ascii="Arial" w:eastAsia="Times New Roman" w:hAnsi="Arial" w:cs="Arial"/>
          <w:color w:val="000000"/>
        </w:rPr>
        <w:t>c) převzetím identifikace od banky, jejímž je také klientem</w:t>
      </w:r>
    </w:p>
    <w:p w:rsidR="002864EB" w:rsidRPr="002864EB" w:rsidRDefault="002864EB" w:rsidP="002864EB">
      <w:pPr>
        <w:jc w:val="both"/>
        <w:rPr>
          <w:rFonts w:ascii="Arial" w:eastAsia="Times New Roman" w:hAnsi="Arial" w:cs="Arial"/>
          <w:color w:val="000000"/>
        </w:rPr>
      </w:pPr>
    </w:p>
    <w:p w:rsidR="002864EB" w:rsidRPr="008231C6" w:rsidRDefault="002864EB" w:rsidP="002864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231C6">
        <w:rPr>
          <w:rFonts w:ascii="Arial" w:eastAsia="Times New Roman" w:hAnsi="Arial" w:cs="Arial"/>
          <w:b/>
          <w:color w:val="000000"/>
        </w:rPr>
        <w:t>Posuzování stavu nemovité věci pro účely zajištění činností zprostředkovatele v oblasti realit</w:t>
      </w:r>
    </w:p>
    <w:p w:rsidR="007A1F03" w:rsidRPr="008231C6" w:rsidRDefault="007A1F03" w:rsidP="002864E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2864EB" w:rsidRPr="002864EB" w:rsidRDefault="002864EB" w:rsidP="002864EB">
      <w:pPr>
        <w:ind w:left="426"/>
        <w:jc w:val="both"/>
        <w:rPr>
          <w:rFonts w:ascii="Arial" w:hAnsi="Arial" w:cs="Arial"/>
          <w:i/>
        </w:rPr>
      </w:pPr>
      <w:r w:rsidRPr="002864EB">
        <w:rPr>
          <w:rFonts w:ascii="Arial" w:hAnsi="Arial" w:cs="Arial"/>
          <w:b/>
          <w:i/>
        </w:rPr>
        <w:t>kritérium a): Orientovat se v základní stavební výkresové dokumentaci, související s činností zpr</w:t>
      </w:r>
      <w:r w:rsidR="00C7096B">
        <w:rPr>
          <w:rFonts w:ascii="Arial" w:hAnsi="Arial" w:cs="Arial"/>
          <w:b/>
          <w:i/>
        </w:rPr>
        <w:t>ostředkovatele v oblasti realit</w:t>
      </w:r>
      <w:r w:rsidRPr="002864EB">
        <w:rPr>
          <w:rFonts w:ascii="Arial" w:hAnsi="Arial" w:cs="Arial"/>
          <w:i/>
        </w:rPr>
        <w:t xml:space="preserve"> </w:t>
      </w:r>
    </w:p>
    <w:p w:rsidR="002864EB" w:rsidRPr="002864EB" w:rsidRDefault="002864EB" w:rsidP="002864EB">
      <w:pPr>
        <w:ind w:left="426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 xml:space="preserve">Za tuto dokumentaci považujeme dle </w:t>
      </w:r>
      <w:r w:rsidRPr="002864EB">
        <w:rPr>
          <w:rFonts w:ascii="Arial" w:hAnsi="Arial" w:cs="Arial"/>
          <w:color w:val="000000"/>
          <w:szCs w:val="20"/>
          <w:shd w:val="clear" w:color="auto" w:fill="FFFFFF"/>
        </w:rPr>
        <w:t>Přílohy č. 14 vyhlášky č. 499/2006 Sb. „zjednodušenou dokumentaci (pasport stavby)“, a to její část pod bodem D „</w:t>
      </w:r>
      <w:r w:rsidRPr="002864EB">
        <w:rPr>
          <w:rFonts w:ascii="Arial" w:hAnsi="Arial" w:cs="Arial"/>
        </w:rPr>
        <w:t>Zjednodušená výkresová dokumentace“, tedy „Zjednodušené výkresy skutečného provedení stavby v</w:t>
      </w:r>
      <w:r>
        <w:rPr>
          <w:rFonts w:ascii="Arial" w:hAnsi="Arial" w:cs="Arial"/>
        </w:rPr>
        <w:t> </w:t>
      </w:r>
      <w:r w:rsidRPr="002864EB">
        <w:rPr>
          <w:rFonts w:ascii="Arial" w:hAnsi="Arial" w:cs="Arial"/>
        </w:rPr>
        <w:t>rozsahu a podrobnostech odpovídajících druhu a účelu stavby s popisem způsobu užívání všech prostorů a místností.“</w:t>
      </w:r>
    </w:p>
    <w:p w:rsidR="009107C1" w:rsidRDefault="002864EB" w:rsidP="009107C1">
      <w:pPr>
        <w:spacing w:after="0" w:line="240" w:lineRule="auto"/>
        <w:ind w:left="426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 xml:space="preserve">Praktické předvedení by mělo obsahovat ukázku schopnosti uchazeče orientovat se v dokumentaci tak, že např. </w:t>
      </w:r>
    </w:p>
    <w:p w:rsidR="002864EB" w:rsidRPr="009107C1" w:rsidRDefault="002864EB" w:rsidP="009107C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107C1">
        <w:rPr>
          <w:rFonts w:ascii="Arial" w:hAnsi="Arial" w:cs="Arial"/>
        </w:rPr>
        <w:lastRenderedPageBreak/>
        <w:t>uvede způsob umístění stavby v terénu, případně popíše základní technická terénní opatření, (např. opěrnou zeď, odvodnění v bezprostředním okolí, atd.);</w:t>
      </w:r>
    </w:p>
    <w:p w:rsidR="002864EB" w:rsidRPr="002864EB" w:rsidRDefault="002864EB" w:rsidP="00C709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definuje jednotlivá podlaží, uvede, zda je objekt podsklepen, obsahuje garáž, sklad či dí</w:t>
      </w:r>
      <w:r>
        <w:rPr>
          <w:rFonts w:ascii="Arial" w:hAnsi="Arial" w:cs="Arial"/>
        </w:rPr>
        <w:t>lnu nebo jiný technický prostor;</w:t>
      </w:r>
      <w:r w:rsidRPr="002864EB">
        <w:rPr>
          <w:rFonts w:ascii="Arial" w:hAnsi="Arial" w:cs="Arial"/>
        </w:rPr>
        <w:t xml:space="preserve"> </w:t>
      </w:r>
    </w:p>
    <w:p w:rsidR="002864EB" w:rsidRPr="002864EB" w:rsidRDefault="002864EB" w:rsidP="00C709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rozezná nosnou a nenosnou příčku, typ oken, konstrukci střech</w:t>
      </w:r>
      <w:r>
        <w:rPr>
          <w:rFonts w:ascii="Arial" w:hAnsi="Arial" w:cs="Arial"/>
        </w:rPr>
        <w:t>y, případně střešní krytinu;</w:t>
      </w:r>
      <w:r w:rsidRPr="002864EB">
        <w:rPr>
          <w:rFonts w:ascii="Arial" w:hAnsi="Arial" w:cs="Arial"/>
        </w:rPr>
        <w:t xml:space="preserve"> </w:t>
      </w:r>
    </w:p>
    <w:p w:rsidR="002864EB" w:rsidRPr="002864EB" w:rsidRDefault="002864EB" w:rsidP="00C709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popíše vstupní a výstu</w:t>
      </w:r>
      <w:r>
        <w:rPr>
          <w:rFonts w:ascii="Arial" w:hAnsi="Arial" w:cs="Arial"/>
        </w:rPr>
        <w:t>pní a vnitřní komunikační trasy;</w:t>
      </w:r>
      <w:r w:rsidRPr="002864EB">
        <w:rPr>
          <w:rFonts w:ascii="Arial" w:hAnsi="Arial" w:cs="Arial"/>
        </w:rPr>
        <w:t xml:space="preserve"> </w:t>
      </w:r>
    </w:p>
    <w:p w:rsidR="002864EB" w:rsidRPr="002864EB" w:rsidRDefault="002864EB" w:rsidP="00C709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ukáže, kde jsou místnosti pravděpodobně napojené na vodovod, odpad, urč</w:t>
      </w:r>
      <w:r w:rsidR="00C7096B">
        <w:rPr>
          <w:rFonts w:ascii="Arial" w:hAnsi="Arial" w:cs="Arial"/>
        </w:rPr>
        <w:t>í způsob likvidace odpadní vody;</w:t>
      </w:r>
    </w:p>
    <w:p w:rsidR="002864EB" w:rsidRDefault="002864EB" w:rsidP="00C709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 xml:space="preserve">pozná způsob vytápění (musí být předložena taková dokumentace, ze které to je patrné), případně klimatizace, rozezná kouřovod, pokud se v objektu nachází. </w:t>
      </w:r>
    </w:p>
    <w:p w:rsidR="00C7096B" w:rsidRPr="002864EB" w:rsidRDefault="00C7096B" w:rsidP="00C7096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C7096B" w:rsidRDefault="00C7096B" w:rsidP="00C7096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7096B">
        <w:rPr>
          <w:rFonts w:ascii="Arial" w:hAnsi="Arial" w:cs="Arial"/>
          <w:b/>
          <w:i/>
        </w:rPr>
        <w:t xml:space="preserve">kritérium </w:t>
      </w:r>
      <w:r w:rsidR="002864EB" w:rsidRPr="00C7096B">
        <w:rPr>
          <w:rFonts w:ascii="Arial" w:hAnsi="Arial" w:cs="Arial"/>
          <w:b/>
          <w:i/>
        </w:rPr>
        <w:t xml:space="preserve">b) Posoudit a zhodnotit stav nemovité věci na základě </w:t>
      </w:r>
      <w:r>
        <w:rPr>
          <w:rFonts w:ascii="Arial" w:hAnsi="Arial" w:cs="Arial"/>
          <w:b/>
          <w:i/>
        </w:rPr>
        <w:t>předložené stavební dokumentace</w:t>
      </w:r>
    </w:p>
    <w:p w:rsidR="002864EB" w:rsidRPr="00C7096B" w:rsidRDefault="002864EB" w:rsidP="00C7096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7096B">
        <w:rPr>
          <w:rFonts w:ascii="Arial" w:hAnsi="Arial" w:cs="Arial"/>
          <w:b/>
          <w:i/>
        </w:rPr>
        <w:t xml:space="preserve"> </w:t>
      </w:r>
    </w:p>
    <w:p w:rsidR="00C7096B" w:rsidRDefault="002864EB" w:rsidP="00C7096B">
      <w:p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Opět se doporučuje využít zjednodušené dokumentace (viz výše).</w:t>
      </w:r>
    </w:p>
    <w:p w:rsidR="00C7096B" w:rsidRDefault="002864EB" w:rsidP="00C7096B">
      <w:p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 xml:space="preserve"> </w:t>
      </w:r>
    </w:p>
    <w:p w:rsidR="00C7096B" w:rsidRPr="002864EB" w:rsidRDefault="002864EB" w:rsidP="00C7096B">
      <w:p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 xml:space="preserve">Uchazeč se vyjádří ke stavu nemovitosti z pohledu: </w:t>
      </w:r>
    </w:p>
    <w:p w:rsidR="002864EB" w:rsidRPr="002864EB" w:rsidRDefault="002864EB" w:rsidP="00C7096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účelu stavby; uvede jak asi je taková stavba jako celek využívána, případně jak by mohla být, kdyby došlo k dílčí stavební úpravě okolí na souvisejícím pozemku (jiná přístupová tr</w:t>
      </w:r>
      <w:r w:rsidR="006E511A">
        <w:rPr>
          <w:rFonts w:ascii="Arial" w:hAnsi="Arial" w:cs="Arial"/>
        </w:rPr>
        <w:t>asa, vyřešení parkování, apod.);</w:t>
      </w:r>
      <w:r w:rsidRPr="002864EB">
        <w:rPr>
          <w:rFonts w:ascii="Arial" w:hAnsi="Arial" w:cs="Arial"/>
        </w:rPr>
        <w:t xml:space="preserve"> </w:t>
      </w:r>
    </w:p>
    <w:p w:rsidR="002864EB" w:rsidRPr="002864EB" w:rsidRDefault="002864EB" w:rsidP="00C7096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obyvatelnosti a využití jednotlivých místností; vysloví se k otázce, zda je taková dispozice vhodná, či konečná, které prostory jsou pravděpodobně obytné celoročně, které nikoli</w:t>
      </w:r>
      <w:r w:rsidR="006E511A">
        <w:rPr>
          <w:rFonts w:ascii="Arial" w:hAnsi="Arial" w:cs="Arial"/>
        </w:rPr>
        <w:t>;</w:t>
      </w:r>
    </w:p>
    <w:p w:rsidR="002864EB" w:rsidRDefault="002864EB" w:rsidP="00C7096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zastaralosti základního technického a sanitárního vybavení, z</w:t>
      </w:r>
      <w:r w:rsidR="006E511A">
        <w:rPr>
          <w:rFonts w:ascii="Arial" w:hAnsi="Arial" w:cs="Arial"/>
        </w:rPr>
        <w:t>da je pro současnost vyhovující;</w:t>
      </w:r>
    </w:p>
    <w:p w:rsidR="009107C1" w:rsidRPr="002864EB" w:rsidRDefault="009107C1" w:rsidP="009107C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864EB" w:rsidRPr="002864EB" w:rsidRDefault="002864EB" w:rsidP="00C7096B">
      <w:p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Uchazeč dále uvede</w:t>
      </w:r>
      <w:r w:rsidR="006E511A">
        <w:rPr>
          <w:rFonts w:ascii="Arial" w:hAnsi="Arial" w:cs="Arial"/>
        </w:rPr>
        <w:t>:</w:t>
      </w:r>
    </w:p>
    <w:p w:rsidR="002864EB" w:rsidRPr="002864EB" w:rsidRDefault="002864EB" w:rsidP="00C7096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na základě návodné doplňující a upřesňující otázky, zda by bylo možno uvažovat o</w:t>
      </w:r>
      <w:r w:rsidR="006E511A">
        <w:rPr>
          <w:rFonts w:ascii="Arial" w:hAnsi="Arial" w:cs="Arial"/>
        </w:rPr>
        <w:t> </w:t>
      </w:r>
      <w:r w:rsidRPr="002864EB">
        <w:rPr>
          <w:rFonts w:ascii="Arial" w:hAnsi="Arial" w:cs="Arial"/>
        </w:rPr>
        <w:t>úpravě, modernizaci objektu, či změně technických či užitných</w:t>
      </w:r>
      <w:r w:rsidR="006E511A">
        <w:rPr>
          <w:rFonts w:ascii="Arial" w:hAnsi="Arial" w:cs="Arial"/>
        </w:rPr>
        <w:t xml:space="preserve"> parametrů;</w:t>
      </w:r>
      <w:r w:rsidRPr="002864EB">
        <w:rPr>
          <w:rFonts w:ascii="Arial" w:hAnsi="Arial" w:cs="Arial"/>
        </w:rPr>
        <w:t xml:space="preserve"> </w:t>
      </w:r>
    </w:p>
    <w:p w:rsidR="002864EB" w:rsidRDefault="002864EB" w:rsidP="00C709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>zda má objekt vstup bezbariérový či dobře přístupný pro osoby s omezenou pohyblivostí, případně takový, který by bylo možno k tomuto účelu relativně snadno upravit.</w:t>
      </w:r>
    </w:p>
    <w:p w:rsidR="006E511A" w:rsidRPr="002864EB" w:rsidRDefault="006E511A" w:rsidP="006E511A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864EB" w:rsidRDefault="002864EB" w:rsidP="00C7096B">
      <w:pPr>
        <w:spacing w:after="0" w:line="240" w:lineRule="auto"/>
        <w:jc w:val="both"/>
        <w:rPr>
          <w:rFonts w:ascii="Arial" w:hAnsi="Arial" w:cs="Arial"/>
        </w:rPr>
      </w:pPr>
      <w:r w:rsidRPr="002864EB">
        <w:rPr>
          <w:rFonts w:ascii="Arial" w:hAnsi="Arial" w:cs="Arial"/>
        </w:rPr>
        <w:t xml:space="preserve">Uchazeč se na závěr musí vyjádřit (na výzvu či doplňující otázku) jednoznačně ke stavu nemovitosti jako celku z pohledu okamžité obyvatelnosti (využitelnosti), či obyvatelnosti (využitelnosti) podmíněné či omezené. </w:t>
      </w:r>
    </w:p>
    <w:p w:rsidR="009107C1" w:rsidRDefault="009107C1" w:rsidP="00C7096B">
      <w:pPr>
        <w:spacing w:after="0" w:line="240" w:lineRule="auto"/>
        <w:jc w:val="both"/>
        <w:rPr>
          <w:rFonts w:ascii="Arial" w:hAnsi="Arial" w:cs="Arial"/>
        </w:rPr>
      </w:pPr>
    </w:p>
    <w:p w:rsidR="009107C1" w:rsidRDefault="009107C1" w:rsidP="00C7096B">
      <w:pPr>
        <w:spacing w:after="0" w:line="240" w:lineRule="auto"/>
        <w:jc w:val="both"/>
        <w:rPr>
          <w:rFonts w:ascii="Arial" w:hAnsi="Arial" w:cs="Arial"/>
        </w:rPr>
      </w:pPr>
    </w:p>
    <w:p w:rsidR="009107C1" w:rsidRDefault="009107C1" w:rsidP="00C7096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107C1">
        <w:rPr>
          <w:rFonts w:ascii="Arial" w:hAnsi="Arial" w:cs="Arial"/>
          <w:u w:val="single"/>
        </w:rPr>
        <w:t>UPOZORNĚNÍ:</w:t>
      </w:r>
    </w:p>
    <w:p w:rsidR="009107C1" w:rsidRDefault="009107C1" w:rsidP="00C7096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07C1" w:rsidRDefault="004F650F" w:rsidP="00C709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uvedená doporučení</w:t>
      </w:r>
      <w:r w:rsidR="009107C1" w:rsidRPr="00910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nejsou</w:t>
      </w:r>
      <w:r w:rsidR="009107C1">
        <w:rPr>
          <w:rFonts w:ascii="Arial" w:hAnsi="Arial" w:cs="Arial"/>
        </w:rPr>
        <w:t xml:space="preserve"> závazný</w:t>
      </w:r>
      <w:r>
        <w:rPr>
          <w:rFonts w:ascii="Arial" w:hAnsi="Arial" w:cs="Arial"/>
        </w:rPr>
        <w:t>m</w:t>
      </w:r>
      <w:r w:rsidR="009107C1">
        <w:rPr>
          <w:rFonts w:ascii="Arial" w:hAnsi="Arial" w:cs="Arial"/>
        </w:rPr>
        <w:t xml:space="preserve"> pokyn</w:t>
      </w:r>
      <w:r>
        <w:rPr>
          <w:rFonts w:ascii="Arial" w:hAnsi="Arial" w:cs="Arial"/>
        </w:rPr>
        <w:t>em</w:t>
      </w:r>
      <w:r w:rsidR="009107C1">
        <w:rPr>
          <w:rFonts w:ascii="Arial" w:hAnsi="Arial" w:cs="Arial"/>
        </w:rPr>
        <w:t xml:space="preserve"> s definicí (za soulad zkoušky s daným hodnoticím standardem odpovídá autorizovaná osoba).</w:t>
      </w:r>
    </w:p>
    <w:p w:rsidR="009107C1" w:rsidRDefault="009107C1" w:rsidP="00C7096B">
      <w:pPr>
        <w:spacing w:after="0" w:line="240" w:lineRule="auto"/>
        <w:jc w:val="both"/>
        <w:rPr>
          <w:rFonts w:ascii="Arial" w:hAnsi="Arial" w:cs="Arial"/>
        </w:rPr>
      </w:pPr>
    </w:p>
    <w:p w:rsidR="009107C1" w:rsidRDefault="004F650F" w:rsidP="00C709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uvedená doporučení mohou</w:t>
      </w:r>
      <w:r w:rsidR="009107C1">
        <w:rPr>
          <w:rFonts w:ascii="Arial" w:hAnsi="Arial" w:cs="Arial"/>
        </w:rPr>
        <w:t xml:space="preserve"> být doporučením / návodem / inspirací pro autorizované osoby.</w:t>
      </w:r>
    </w:p>
    <w:p w:rsidR="009107C1" w:rsidRDefault="009107C1" w:rsidP="00C7096B">
      <w:pPr>
        <w:spacing w:after="0" w:line="240" w:lineRule="auto"/>
        <w:jc w:val="both"/>
        <w:rPr>
          <w:rFonts w:ascii="Arial" w:hAnsi="Arial" w:cs="Arial"/>
        </w:rPr>
      </w:pPr>
    </w:p>
    <w:p w:rsidR="009107C1" w:rsidRPr="009107C1" w:rsidRDefault="009107C1" w:rsidP="009107C1">
      <w:pPr>
        <w:spacing w:after="0" w:line="240" w:lineRule="auto"/>
        <w:jc w:val="both"/>
        <w:rPr>
          <w:rFonts w:ascii="Arial" w:hAnsi="Arial" w:cs="Arial"/>
        </w:rPr>
      </w:pPr>
      <w:r w:rsidRPr="009107C1">
        <w:rPr>
          <w:rFonts w:ascii="Arial" w:hAnsi="Arial" w:cs="Arial"/>
        </w:rPr>
        <w:t xml:space="preserve">V případě </w:t>
      </w:r>
      <w:r w:rsidRPr="009107C1">
        <w:rPr>
          <w:rFonts w:ascii="Arial" w:hAnsi="Arial" w:cs="Arial"/>
          <w:b/>
        </w:rPr>
        <w:t>doslovného převzetí</w:t>
      </w:r>
      <w:r w:rsidRPr="009107C1">
        <w:rPr>
          <w:rFonts w:ascii="Arial" w:hAnsi="Arial" w:cs="Arial"/>
        </w:rPr>
        <w:t xml:space="preserve"> ke </w:t>
      </w:r>
      <w:r w:rsidRPr="004F650F">
        <w:rPr>
          <w:rFonts w:ascii="Arial" w:hAnsi="Arial" w:cs="Arial"/>
          <w:i/>
        </w:rPr>
        <w:t>kritériu i)</w:t>
      </w:r>
      <w:r w:rsidRPr="009107C1">
        <w:rPr>
          <w:rFonts w:ascii="Arial" w:hAnsi="Arial" w:cs="Arial"/>
        </w:rPr>
        <w:t xml:space="preserve"> kompetence Orientace v právní úpravě týkající se činnosti zprostředkovatele v oblasti realit </w:t>
      </w:r>
      <w:r w:rsidRPr="009107C1">
        <w:rPr>
          <w:rFonts w:ascii="Arial" w:hAnsi="Arial" w:cs="Arial"/>
          <w:b/>
        </w:rPr>
        <w:t>je žádoucí</w:t>
      </w:r>
      <w:r w:rsidRPr="009107C1">
        <w:rPr>
          <w:rFonts w:ascii="Arial" w:hAnsi="Arial" w:cs="Arial"/>
        </w:rPr>
        <w:t xml:space="preserve">, aby </w:t>
      </w:r>
      <w:r>
        <w:rPr>
          <w:rFonts w:ascii="Arial" w:hAnsi="Arial" w:cs="Arial"/>
        </w:rPr>
        <w:t>pořadí odpovědí</w:t>
      </w:r>
      <w:r w:rsidRPr="009107C1">
        <w:rPr>
          <w:rFonts w:ascii="Arial" w:hAnsi="Arial" w:cs="Arial"/>
        </w:rPr>
        <w:t xml:space="preserve"> a) – c) na jednotlivé otázky </w:t>
      </w:r>
      <w:r>
        <w:rPr>
          <w:rFonts w:ascii="Arial" w:hAnsi="Arial" w:cs="Arial"/>
        </w:rPr>
        <w:t>autorizované osoby měnili, aby nemohlo dojít k předávání typu informací omezených pouze na znalost typu: např. otázka č. x = odpověď b).</w:t>
      </w:r>
    </w:p>
    <w:p w:rsidR="009107C1" w:rsidRDefault="009107C1" w:rsidP="00C7096B">
      <w:pPr>
        <w:spacing w:after="0" w:line="240" w:lineRule="auto"/>
        <w:jc w:val="both"/>
        <w:rPr>
          <w:rFonts w:ascii="Arial" w:hAnsi="Arial" w:cs="Arial"/>
        </w:rPr>
      </w:pPr>
    </w:p>
    <w:p w:rsidR="004E3B62" w:rsidRDefault="004E3B62" w:rsidP="00C7096B">
      <w:pPr>
        <w:spacing w:after="0" w:line="240" w:lineRule="auto"/>
        <w:jc w:val="both"/>
        <w:rPr>
          <w:rFonts w:ascii="Arial" w:hAnsi="Arial" w:cs="Arial"/>
        </w:rPr>
      </w:pPr>
    </w:p>
    <w:p w:rsidR="004E3B62" w:rsidRDefault="004E3B62" w:rsidP="00C7096B">
      <w:pPr>
        <w:spacing w:after="0" w:line="240" w:lineRule="auto"/>
        <w:jc w:val="both"/>
        <w:rPr>
          <w:rFonts w:ascii="Arial" w:hAnsi="Arial" w:cs="Arial"/>
        </w:rPr>
      </w:pPr>
    </w:p>
    <w:p w:rsidR="004E3B62" w:rsidRDefault="004E3B62" w:rsidP="00C7096B">
      <w:pPr>
        <w:spacing w:after="0" w:line="240" w:lineRule="auto"/>
        <w:jc w:val="both"/>
        <w:rPr>
          <w:rFonts w:ascii="Arial" w:hAnsi="Arial" w:cs="Arial"/>
        </w:rPr>
      </w:pPr>
    </w:p>
    <w:p w:rsidR="008231C6" w:rsidRDefault="008231C6" w:rsidP="00C7096B">
      <w:pPr>
        <w:spacing w:after="0" w:line="240" w:lineRule="auto"/>
        <w:jc w:val="both"/>
        <w:rPr>
          <w:rFonts w:ascii="Arial" w:hAnsi="Arial" w:cs="Arial"/>
        </w:rPr>
      </w:pPr>
    </w:p>
    <w:p w:rsidR="008231C6" w:rsidRDefault="008231C6" w:rsidP="008231C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31C6">
        <w:rPr>
          <w:rFonts w:ascii="Arial" w:hAnsi="Arial" w:cs="Arial"/>
          <w:b/>
          <w:sz w:val="24"/>
          <w:szCs w:val="24"/>
          <w:u w:val="single"/>
        </w:rPr>
        <w:t>Vyjádření k ověřování kritérií způsobem „písemné ověření“</w:t>
      </w:r>
    </w:p>
    <w:p w:rsidR="008231C6" w:rsidRDefault="008231C6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31C6" w:rsidRDefault="008231C6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 w:rsidRPr="008231C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hodnoticím standardu v části </w:t>
      </w:r>
      <w:r w:rsidRPr="008231C6">
        <w:rPr>
          <w:rFonts w:ascii="Arial" w:hAnsi="Arial" w:cs="Arial"/>
          <w:i/>
        </w:rPr>
        <w:t>Organizační a metodické pokyny</w:t>
      </w:r>
      <w:r>
        <w:rPr>
          <w:rFonts w:ascii="Arial" w:hAnsi="Arial" w:cs="Arial"/>
        </w:rPr>
        <w:t xml:space="preserve"> (</w:t>
      </w:r>
      <w:r w:rsidRPr="008231C6">
        <w:rPr>
          <w:rFonts w:ascii="Arial" w:hAnsi="Arial" w:cs="Arial"/>
          <w:i/>
        </w:rPr>
        <w:t>Pokyny k realizaci zkoušky)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je uvedeno:</w:t>
      </w:r>
    </w:p>
    <w:p w:rsidR="008231C6" w:rsidRDefault="008231C6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8231C6" w:rsidRDefault="008231C6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 w:rsidRPr="008231C6">
        <w:rPr>
          <w:rFonts w:ascii="Arial" w:hAnsi="Arial" w:cs="Arial"/>
          <w:i/>
        </w:rPr>
        <w:t xml:space="preserve">A. Testy pro jednotlivé uchazeče musí být generovány z dostatečně velkého souboru otázek (minimálně 48 uzavřených otázek), aby bylo možné </w:t>
      </w:r>
      <w:r w:rsidRPr="004E3B62">
        <w:rPr>
          <w:rFonts w:ascii="Arial" w:hAnsi="Arial" w:cs="Arial"/>
          <w:i/>
          <w:u w:val="single"/>
        </w:rPr>
        <w:t>jejich kombinacemi</w:t>
      </w:r>
      <w:r w:rsidRPr="008231C6">
        <w:rPr>
          <w:rFonts w:ascii="Arial" w:hAnsi="Arial" w:cs="Arial"/>
          <w:i/>
        </w:rPr>
        <w:t xml:space="preserve"> vytvářet dostat</w:t>
      </w:r>
      <w:r>
        <w:rPr>
          <w:rFonts w:ascii="Arial" w:hAnsi="Arial" w:cs="Arial"/>
          <w:i/>
        </w:rPr>
        <w:t>e</w:t>
      </w:r>
      <w:r w:rsidRPr="008231C6">
        <w:rPr>
          <w:rFonts w:ascii="Arial" w:hAnsi="Arial" w:cs="Arial"/>
          <w:i/>
        </w:rPr>
        <w:t xml:space="preserve">čné počty </w:t>
      </w:r>
      <w:r w:rsidRPr="004E3B62">
        <w:rPr>
          <w:rFonts w:ascii="Arial" w:hAnsi="Arial" w:cs="Arial"/>
          <w:i/>
          <w:u w:val="single"/>
        </w:rPr>
        <w:t>různě sestavených testů</w:t>
      </w:r>
      <w:r>
        <w:rPr>
          <w:rFonts w:ascii="Arial" w:hAnsi="Arial" w:cs="Arial"/>
        </w:rPr>
        <w:t>.</w:t>
      </w:r>
    </w:p>
    <w:p w:rsidR="004E3B62" w:rsidRDefault="004E3B62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4E3B62" w:rsidRDefault="004E3B62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uvedeného je zřejmé, že </w:t>
      </w:r>
      <w:r w:rsidRPr="004E3B62">
        <w:rPr>
          <w:rFonts w:ascii="Arial" w:hAnsi="Arial" w:cs="Arial"/>
          <w:b/>
        </w:rPr>
        <w:t>není možné</w:t>
      </w:r>
      <w:r>
        <w:rPr>
          <w:rFonts w:ascii="Arial" w:hAnsi="Arial" w:cs="Arial"/>
        </w:rPr>
        <w:t>, aby autorizovaná osoba vytvořila pouze několik variant testů a ty používala v nezměněné podobě pro účely písemného ověření všech zkoušek před autorizovanou osobou.</w:t>
      </w:r>
    </w:p>
    <w:p w:rsidR="008C0AB4" w:rsidRDefault="008C0AB4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8C0AB4" w:rsidRPr="009107C1" w:rsidRDefault="008C0AB4" w:rsidP="008C0AB4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Smyslem uvedeného nastavení je eliminace předávání typu informací omezených pouze na znalost typu: např. otázka č. x = odpověď b).</w:t>
      </w:r>
    </w:p>
    <w:p w:rsidR="008C0AB4" w:rsidRDefault="008C0AB4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4E3B62" w:rsidRDefault="004E3B62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4E3B62" w:rsidRDefault="004E3B62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8231C6" w:rsidRDefault="008231C6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8231C6" w:rsidRPr="008231C6" w:rsidRDefault="008231C6" w:rsidP="008231C6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7A1F03" w:rsidRPr="007A1F03" w:rsidRDefault="007A1F03" w:rsidP="002864EB">
      <w:pPr>
        <w:spacing w:after="0" w:line="240" w:lineRule="auto"/>
        <w:ind w:left="360"/>
        <w:rPr>
          <w:rFonts w:ascii="Arial" w:hAnsi="Arial" w:cs="Arial"/>
          <w:b/>
        </w:rPr>
      </w:pPr>
    </w:p>
    <w:sectPr w:rsidR="007A1F03" w:rsidRPr="007A1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1F" w:rsidRDefault="00161B1F" w:rsidP="006E511A">
      <w:pPr>
        <w:spacing w:after="0" w:line="240" w:lineRule="auto"/>
      </w:pPr>
      <w:r>
        <w:separator/>
      </w:r>
    </w:p>
  </w:endnote>
  <w:endnote w:type="continuationSeparator" w:id="0">
    <w:p w:rsidR="00161B1F" w:rsidRDefault="00161B1F" w:rsidP="006E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731942"/>
      <w:docPartObj>
        <w:docPartGallery w:val="Page Numbers (Bottom of Page)"/>
        <w:docPartUnique/>
      </w:docPartObj>
    </w:sdtPr>
    <w:sdtEndPr/>
    <w:sdtContent>
      <w:p w:rsidR="006E511A" w:rsidRDefault="006E51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32">
          <w:rPr>
            <w:noProof/>
          </w:rPr>
          <w:t>2</w:t>
        </w:r>
        <w:r>
          <w:fldChar w:fldCharType="end"/>
        </w:r>
      </w:p>
    </w:sdtContent>
  </w:sdt>
  <w:p w:rsidR="006E511A" w:rsidRDefault="006E5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1F" w:rsidRDefault="00161B1F" w:rsidP="006E511A">
      <w:pPr>
        <w:spacing w:after="0" w:line="240" w:lineRule="auto"/>
      </w:pPr>
      <w:r>
        <w:separator/>
      </w:r>
    </w:p>
  </w:footnote>
  <w:footnote w:type="continuationSeparator" w:id="0">
    <w:p w:rsidR="00161B1F" w:rsidRDefault="00161B1F" w:rsidP="006E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1A" w:rsidRDefault="006E511A" w:rsidP="009107C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36"/>
    <w:multiLevelType w:val="hybridMultilevel"/>
    <w:tmpl w:val="19D41A30"/>
    <w:lvl w:ilvl="0" w:tplc="BB0AD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93D"/>
    <w:multiLevelType w:val="hybridMultilevel"/>
    <w:tmpl w:val="21F28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1A1"/>
    <w:multiLevelType w:val="hybridMultilevel"/>
    <w:tmpl w:val="A7FAD3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66063"/>
    <w:multiLevelType w:val="hybridMultilevel"/>
    <w:tmpl w:val="B9DCC9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D60E2"/>
    <w:multiLevelType w:val="hybridMultilevel"/>
    <w:tmpl w:val="73064B88"/>
    <w:lvl w:ilvl="0" w:tplc="BB0AD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7F91"/>
    <w:multiLevelType w:val="hybridMultilevel"/>
    <w:tmpl w:val="7722C7DA"/>
    <w:lvl w:ilvl="0" w:tplc="35CE8F6E">
      <w:start w:val="1"/>
      <w:numFmt w:val="decimal"/>
      <w:lvlText w:val="%1."/>
      <w:lvlJc w:val="left"/>
      <w:pPr>
        <w:ind w:left="426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34B1EFD"/>
    <w:multiLevelType w:val="hybridMultilevel"/>
    <w:tmpl w:val="0A8A8A6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E638A4"/>
    <w:multiLevelType w:val="hybridMultilevel"/>
    <w:tmpl w:val="708C3AA0"/>
    <w:lvl w:ilvl="0" w:tplc="BB0AD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3"/>
    <w:rsid w:val="00161B1F"/>
    <w:rsid w:val="002864EB"/>
    <w:rsid w:val="004E3B62"/>
    <w:rsid w:val="004F650F"/>
    <w:rsid w:val="006E511A"/>
    <w:rsid w:val="007A1F03"/>
    <w:rsid w:val="008231C6"/>
    <w:rsid w:val="008C0AB4"/>
    <w:rsid w:val="009107C1"/>
    <w:rsid w:val="00994B15"/>
    <w:rsid w:val="00A22D32"/>
    <w:rsid w:val="00C7096B"/>
    <w:rsid w:val="00CC617B"/>
    <w:rsid w:val="00F1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F4E5-7AB0-4ECC-B9E1-BC14F3C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F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11A"/>
  </w:style>
  <w:style w:type="paragraph" w:styleId="Zpat">
    <w:name w:val="footer"/>
    <w:basedOn w:val="Normln"/>
    <w:link w:val="ZpatChar"/>
    <w:uiPriority w:val="99"/>
    <w:unhideWhenUsed/>
    <w:rsid w:val="006E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Renata</dc:creator>
  <cp:keywords/>
  <dc:description/>
  <cp:lastModifiedBy>Prokopová Renata</cp:lastModifiedBy>
  <cp:revision>2</cp:revision>
  <dcterms:created xsi:type="dcterms:W3CDTF">2020-02-12T10:10:00Z</dcterms:created>
  <dcterms:modified xsi:type="dcterms:W3CDTF">2020-02-12T10:10:00Z</dcterms:modified>
</cp:coreProperties>
</file>